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0"/>
        </w:numPr>
        <w:tabs>
          <w:tab w:val="clear" w:pos="708"/>
          <w:tab w:val="left" w:pos="432" w:leader="none"/>
        </w:tabs>
        <w:spacing w:before="240" w:after="0"/>
        <w:ind w:hanging="0" w:left="0" w:right="5"/>
        <w:jc w:val="left"/>
        <w:rPr>
          <w:rFonts w:ascii="Tahoma" w:hAnsi="Tahoma"/>
          <w:color w:val="000000"/>
          <w:sz w:val="20"/>
          <w:szCs w:val="20"/>
        </w:rPr>
      </w:pPr>
      <w:bookmarkStart w:id="0" w:name="_Hlk97286785_kopia_1"/>
      <w:bookmarkEnd w:id="0"/>
      <w:r>
        <w:rPr>
          <w:rFonts w:ascii="Tahoma" w:hAnsi="Tahoma"/>
          <w:b/>
          <w:bCs/>
          <w:i/>
          <w:iCs/>
          <w:color w:val="000000"/>
          <w:sz w:val="20"/>
          <w:szCs w:val="20"/>
        </w:rPr>
        <w:t>Znak sprawy; ZP/11/PN/26                                                                     Załącznik nr 5 do SWZ</w:t>
      </w:r>
    </w:p>
    <w:p>
      <w:pPr>
        <w:pStyle w:val="Normal"/>
        <w:numPr>
          <w:ilvl w:val="0"/>
          <w:numId w:val="0"/>
        </w:numPr>
        <w:tabs>
          <w:tab w:val="clear" w:pos="708"/>
          <w:tab w:val="left" w:pos="432" w:leader="none"/>
        </w:tabs>
        <w:spacing w:before="240" w:after="0"/>
        <w:ind w:hanging="0" w:left="0" w:right="5"/>
        <w:jc w:val="center"/>
        <w:rPr>
          <w:rFonts w:ascii="Tahoma" w:hAnsi="Tahoma"/>
          <w:b/>
          <w:bCs/>
          <w:i/>
          <w:iCs/>
          <w:color w:val="FF0000"/>
          <w:sz w:val="20"/>
          <w:szCs w:val="20"/>
        </w:rPr>
      </w:pPr>
      <w:r>
        <w:rPr>
          <w:rFonts w:ascii="Tahoma" w:hAnsi="Tahoma"/>
          <w:b/>
          <w:bCs/>
          <w:i/>
          <w:iCs/>
          <w:color w:val="FF0000"/>
          <w:sz w:val="20"/>
          <w:szCs w:val="20"/>
        </w:rPr>
      </w:r>
    </w:p>
    <w:p>
      <w:pPr>
        <w:pStyle w:val="Normal"/>
        <w:spacing w:before="0" w:after="0"/>
        <w:ind w:hanging="351" w:left="360"/>
        <w:jc w:val="center"/>
        <w:rPr>
          <w:rFonts w:ascii="Calibri" w:hAnsi="Calibri"/>
          <w:sz w:val="22"/>
          <w:szCs w:val="22"/>
        </w:rPr>
      </w:pPr>
      <w:r>
        <w:rPr>
          <w:rFonts w:cs="Tahoma"/>
          <w:b/>
          <w:bCs/>
          <w:color w:val="000000"/>
          <w:sz w:val="22"/>
          <w:szCs w:val="22"/>
        </w:rPr>
        <w:t>PROJEKTOWANE POSTANOWIENIA UMOWNE</w:t>
      </w:r>
    </w:p>
    <w:p>
      <w:pPr>
        <w:pStyle w:val="Normal"/>
        <w:spacing w:before="0" w:after="29"/>
        <w:ind w:hanging="351" w:left="360"/>
        <w:jc w:val="center"/>
        <w:rPr>
          <w:rFonts w:ascii="Calibri" w:hAnsi="Calibri"/>
          <w:sz w:val="22"/>
          <w:szCs w:val="22"/>
        </w:rPr>
      </w:pPr>
      <w:r>
        <w:rPr>
          <w:rFonts w:cs="Tahoma"/>
          <w:b/>
          <w:bCs/>
          <w:color w:val="000000"/>
          <w:sz w:val="22"/>
          <w:szCs w:val="22"/>
        </w:rPr>
        <w:t>NA PAKIET NR 1</w:t>
      </w:r>
    </w:p>
    <w:p>
      <w:pPr>
        <w:pStyle w:val="Normal"/>
        <w:jc w:val="center"/>
        <w:rPr>
          <w:rFonts w:ascii="Calibri" w:hAnsi="Calibri"/>
          <w:sz w:val="22"/>
          <w:szCs w:val="22"/>
        </w:rPr>
      </w:pPr>
      <w:bookmarkStart w:id="1" w:name="_Hlk522713981"/>
      <w:bookmarkEnd w:id="1"/>
      <w:r>
        <w:rPr>
          <w:rFonts w:cs="Tahoma"/>
          <w:b/>
          <w:bCs/>
          <w:sz w:val="22"/>
          <w:szCs w:val="22"/>
        </w:rPr>
        <w:t xml:space="preserve">         </w:t>
      </w:r>
      <w:r>
        <w:rPr>
          <w:rFonts w:cs="Tahoma"/>
          <w:b/>
          <w:bCs/>
          <w:sz w:val="22"/>
          <w:szCs w:val="22"/>
        </w:rPr>
        <w:t>UMOWA NR ….</w:t>
      </w:r>
    </w:p>
    <w:p>
      <w:pPr>
        <w:pStyle w:val="BodyText"/>
        <w:spacing w:lineRule="auto" w:line="240" w:before="120" w:after="0"/>
        <w:jc w:val="both"/>
        <w:rPr>
          <w:rFonts w:ascii="Calibri" w:hAnsi="Calibri"/>
          <w:sz w:val="22"/>
          <w:szCs w:val="22"/>
        </w:rPr>
      </w:pPr>
      <w:r>
        <w:rPr>
          <w:rFonts w:cs="Tahoma"/>
          <w:sz w:val="22"/>
          <w:szCs w:val="22"/>
        </w:rPr>
        <w:t>zawarta dnia ……………………….roku w Śremie pomiędzy:</w:t>
      </w:r>
    </w:p>
    <w:p>
      <w:pPr>
        <w:pStyle w:val="Normal"/>
        <w:spacing w:lineRule="auto" w:line="240" w:before="0" w:after="0"/>
        <w:jc w:val="both"/>
        <w:rPr>
          <w:rFonts w:ascii="Calibri" w:hAnsi="Calibri"/>
          <w:sz w:val="22"/>
          <w:szCs w:val="22"/>
        </w:rPr>
      </w:pPr>
      <w:r>
        <w:rPr>
          <w:rFonts w:cs="Arial"/>
          <w:b/>
          <w:bCs/>
          <w:sz w:val="22"/>
          <w:szCs w:val="22"/>
          <w:lang w:eastAsia="pl-PL"/>
        </w:rPr>
        <w:t>Szpital Powiatowy im. Tadeusza Malińskiego w Śremie sp. z o.o.</w:t>
      </w:r>
      <w:r>
        <w:rPr>
          <w:rFonts w:cs="Arial"/>
          <w:bCs/>
          <w:sz w:val="22"/>
          <w:szCs w:val="22"/>
          <w:lang w:eastAsia="pl-PL"/>
        </w:rPr>
        <w:t xml:space="preserve">, z siedzibą w Śremie, </w:t>
      </w:r>
    </w:p>
    <w:p>
      <w:pPr>
        <w:pStyle w:val="Normal"/>
        <w:spacing w:lineRule="auto" w:line="240" w:before="0" w:after="0"/>
        <w:jc w:val="both"/>
        <w:rPr>
          <w:rFonts w:ascii="Calibri" w:hAnsi="Calibri"/>
          <w:sz w:val="22"/>
          <w:szCs w:val="22"/>
        </w:rPr>
      </w:pPr>
      <w:r>
        <w:rPr>
          <w:rFonts w:cs="Arial"/>
          <w:sz w:val="22"/>
          <w:szCs w:val="22"/>
        </w:rPr>
        <w:t>ul. Chełmońskiego 1 63-100 Śrem, wpisaną do Rejestru Przedsiębiorców Krajowego Rejestru</w:t>
      </w:r>
    </w:p>
    <w:p>
      <w:pPr>
        <w:pStyle w:val="Normal"/>
        <w:spacing w:lineRule="auto" w:line="240" w:before="0" w:after="0"/>
        <w:jc w:val="both"/>
        <w:rPr>
          <w:rFonts w:ascii="Calibri" w:hAnsi="Calibri"/>
          <w:sz w:val="22"/>
          <w:szCs w:val="22"/>
        </w:rPr>
      </w:pPr>
      <w:r>
        <w:rPr>
          <w:rFonts w:cs="Arial"/>
          <w:sz w:val="22"/>
          <w:szCs w:val="22"/>
        </w:rPr>
        <w:t>Sądowego prowadzonego przez Sąd Rejonowy Poznań - Nowe Miasto i Wilda w Poznaniu, IX Wydział</w:t>
      </w:r>
    </w:p>
    <w:p>
      <w:pPr>
        <w:pStyle w:val="Normal"/>
        <w:spacing w:lineRule="auto" w:line="240" w:before="0" w:after="0"/>
        <w:jc w:val="both"/>
        <w:rPr>
          <w:rFonts w:ascii="Calibri" w:hAnsi="Calibri"/>
          <w:sz w:val="22"/>
          <w:szCs w:val="22"/>
        </w:rPr>
      </w:pPr>
      <w:r>
        <w:rPr>
          <w:rFonts w:cs="Arial"/>
          <w:sz w:val="22"/>
          <w:szCs w:val="22"/>
        </w:rPr>
        <w:t xml:space="preserve">Gospodarczy KRS pod numerem 0000390057, NIP 7851793027, REGON 301778672, </w:t>
      </w:r>
      <w:r>
        <w:rPr>
          <w:rFonts w:cs="Tahoma"/>
          <w:sz w:val="22"/>
          <w:szCs w:val="22"/>
        </w:rPr>
        <w:t>BDO 000041619</w:t>
      </w:r>
    </w:p>
    <w:p>
      <w:pPr>
        <w:pStyle w:val="Normal"/>
        <w:spacing w:lineRule="auto" w:line="240" w:before="0" w:after="0"/>
        <w:jc w:val="both"/>
        <w:rPr>
          <w:rFonts w:ascii="Calibri" w:hAnsi="Calibri"/>
          <w:sz w:val="22"/>
          <w:szCs w:val="22"/>
        </w:rPr>
      </w:pPr>
      <w:r>
        <w:rPr>
          <w:rFonts w:cs="Arial"/>
          <w:sz w:val="22"/>
          <w:szCs w:val="22"/>
        </w:rPr>
        <w:t xml:space="preserve">o kapitale zakładowym </w:t>
      </w:r>
      <w:r>
        <w:rPr>
          <w:rFonts w:eastAsia="Arial" w:cs="Arial"/>
          <w:b w:val="false"/>
          <w:bCs w:val="false"/>
          <w:color w:val="000000"/>
          <w:spacing w:val="20"/>
          <w:sz w:val="22"/>
          <w:szCs w:val="22"/>
        </w:rPr>
        <w:t>35</w:t>
      </w:r>
      <w:r>
        <w:rPr>
          <w:rFonts w:eastAsia="Arial" w:cs="Arial"/>
          <w:b w:val="false"/>
          <w:bCs w:val="false"/>
          <w:i w:val="false"/>
          <w:caps w:val="false"/>
          <w:smallCaps w:val="false"/>
          <w:color w:val="000000"/>
          <w:spacing w:val="0"/>
          <w:sz w:val="22"/>
          <w:szCs w:val="22"/>
        </w:rPr>
        <w:t xml:space="preserve"> 855 500</w:t>
      </w:r>
      <w:r>
        <w:rPr>
          <w:rFonts w:cs="Arial"/>
          <w:b w:val="false"/>
          <w:bCs w:val="false"/>
          <w:color w:val="000000"/>
          <w:spacing w:val="20"/>
          <w:sz w:val="22"/>
          <w:szCs w:val="22"/>
        </w:rPr>
        <w:t>,00</w:t>
      </w:r>
      <w:r>
        <w:rPr>
          <w:rFonts w:cs="Arial"/>
          <w:sz w:val="22"/>
          <w:szCs w:val="22"/>
        </w:rPr>
        <w:t xml:space="preserve"> zł,</w:t>
      </w:r>
    </w:p>
    <w:p>
      <w:pPr>
        <w:pStyle w:val="Normal"/>
        <w:spacing w:lineRule="auto" w:line="240" w:before="0" w:after="0"/>
        <w:jc w:val="both"/>
        <w:rPr>
          <w:rFonts w:ascii="Calibri" w:hAnsi="Calibri"/>
          <w:sz w:val="22"/>
          <w:szCs w:val="22"/>
        </w:rPr>
      </w:pPr>
      <w:r>
        <w:rPr>
          <w:rFonts w:cs="Tahoma"/>
          <w:sz w:val="22"/>
          <w:szCs w:val="22"/>
        </w:rPr>
        <w:t>reprezentowaną przez:</w:t>
      </w:r>
    </w:p>
    <w:p>
      <w:pPr>
        <w:pStyle w:val="Normal"/>
        <w:spacing w:lineRule="auto" w:line="240"/>
        <w:jc w:val="both"/>
        <w:rPr>
          <w:rFonts w:ascii="Calibri" w:hAnsi="Calibri"/>
          <w:sz w:val="22"/>
          <w:szCs w:val="22"/>
        </w:rPr>
      </w:pPr>
      <w:r>
        <w:rPr>
          <w:rFonts w:cs="Tahoma"/>
          <w:sz w:val="22"/>
          <w:szCs w:val="22"/>
        </w:rPr>
        <w:t>Michała Sobolewskiego – Prezesa Zarządu</w:t>
      </w:r>
    </w:p>
    <w:p>
      <w:pPr>
        <w:pStyle w:val="Normal"/>
        <w:spacing w:lineRule="auto" w:line="240"/>
        <w:jc w:val="both"/>
        <w:rPr>
          <w:rFonts w:ascii="Calibri" w:hAnsi="Calibri"/>
          <w:sz w:val="22"/>
          <w:szCs w:val="22"/>
        </w:rPr>
      </w:pPr>
      <w:r>
        <w:rPr>
          <w:rFonts w:cs="Tahoma"/>
          <w:sz w:val="22"/>
          <w:szCs w:val="22"/>
        </w:rPr>
        <w:t>zwanym w dalszej treści umowy ,,</w:t>
      </w:r>
      <w:r>
        <w:rPr>
          <w:rFonts w:cs="Tahoma"/>
          <w:b/>
          <w:bCs/>
          <w:sz w:val="22"/>
          <w:szCs w:val="22"/>
        </w:rPr>
        <w:t>Zamawiającym”</w:t>
      </w:r>
    </w:p>
    <w:p>
      <w:pPr>
        <w:pStyle w:val="BodyText"/>
        <w:spacing w:lineRule="auto" w:line="240" w:before="120" w:after="0"/>
        <w:ind w:firstLine="708" w:left="3540"/>
        <w:jc w:val="both"/>
        <w:rPr>
          <w:rFonts w:ascii="Calibri" w:hAnsi="Calibri"/>
          <w:sz w:val="22"/>
          <w:szCs w:val="22"/>
        </w:rPr>
      </w:pPr>
      <w:r>
        <w:rPr>
          <w:rFonts w:cs="Tahoma"/>
          <w:color w:val="000000"/>
          <w:sz w:val="22"/>
          <w:szCs w:val="22"/>
        </w:rPr>
        <w:t>a</w:t>
      </w:r>
    </w:p>
    <w:p>
      <w:pPr>
        <w:pStyle w:val="BodyText"/>
        <w:spacing w:lineRule="auto" w:line="240" w:before="0" w:after="0"/>
        <w:jc w:val="both"/>
        <w:rPr>
          <w:rFonts w:ascii="Calibri" w:hAnsi="Calibri"/>
          <w:sz w:val="22"/>
          <w:szCs w:val="22"/>
        </w:rPr>
      </w:pPr>
      <w:r>
        <w:rPr>
          <w:rFonts w:cs="Tahoma"/>
          <w:color w:val="000000"/>
          <w:sz w:val="22"/>
          <w:szCs w:val="22"/>
        </w:rPr>
        <w:t>……………………………………………………………………………</w:t>
      </w:r>
      <w:r>
        <w:rPr>
          <w:rFonts w:cs="Tahoma"/>
          <w:color w:val="000000"/>
          <w:sz w:val="22"/>
          <w:szCs w:val="22"/>
        </w:rPr>
        <w:t>.., działająca na podstawie wpisu do Krajowego</w:t>
      </w:r>
    </w:p>
    <w:p>
      <w:pPr>
        <w:pStyle w:val="BodyText"/>
        <w:spacing w:lineRule="auto" w:line="240" w:before="0" w:after="0"/>
        <w:jc w:val="both"/>
        <w:rPr>
          <w:rFonts w:ascii="Calibri" w:hAnsi="Calibri"/>
          <w:sz w:val="22"/>
          <w:szCs w:val="22"/>
        </w:rPr>
      </w:pPr>
      <w:r>
        <w:rPr>
          <w:rFonts w:cs="Tahoma"/>
          <w:color w:val="000000"/>
          <w:sz w:val="22"/>
          <w:szCs w:val="22"/>
        </w:rPr>
        <w:t>Rejestru Sądowego pod nr ………………….., REGON ……………………..., NIP ………………,BDO</w:t>
      </w:r>
    </w:p>
    <w:p>
      <w:pPr>
        <w:pStyle w:val="BodyText"/>
        <w:spacing w:lineRule="auto" w:line="240" w:before="0" w:after="0"/>
        <w:jc w:val="both"/>
        <w:rPr>
          <w:rFonts w:ascii="Calibri" w:hAnsi="Calibri" w:cs="Tahoma"/>
          <w:color w:val="000000"/>
          <w:sz w:val="22"/>
          <w:szCs w:val="22"/>
        </w:rPr>
      </w:pPr>
      <w:r>
        <w:rPr>
          <w:rFonts w:cs="Tahoma"/>
          <w:color w:val="000000"/>
          <w:sz w:val="22"/>
          <w:szCs w:val="22"/>
        </w:rPr>
      </w:r>
    </w:p>
    <w:p>
      <w:pPr>
        <w:pStyle w:val="BodyText"/>
        <w:spacing w:lineRule="auto" w:line="240" w:before="0" w:after="0"/>
        <w:jc w:val="both"/>
        <w:rPr>
          <w:rFonts w:ascii="Calibri" w:hAnsi="Calibri"/>
          <w:sz w:val="22"/>
          <w:szCs w:val="22"/>
        </w:rPr>
      </w:pPr>
      <w:r>
        <w:rPr>
          <w:rFonts w:cs="Tahoma"/>
          <w:color w:val="000000"/>
          <w:sz w:val="22"/>
          <w:szCs w:val="22"/>
        </w:rPr>
        <w:t>reprezentowanym  przez :</w:t>
      </w:r>
    </w:p>
    <w:p>
      <w:pPr>
        <w:pStyle w:val="BodyText"/>
        <w:tabs>
          <w:tab w:val="clear" w:pos="708"/>
          <w:tab w:val="left" w:pos="360" w:leader="none"/>
        </w:tabs>
        <w:spacing w:lineRule="auto" w:line="240" w:before="0" w:after="0"/>
        <w:jc w:val="both"/>
        <w:rPr>
          <w:rFonts w:ascii="Calibri" w:hAnsi="Calibri"/>
          <w:sz w:val="22"/>
          <w:szCs w:val="22"/>
        </w:rPr>
      </w:pPr>
      <w:r>
        <w:rPr>
          <w:rFonts w:cs="Tahoma"/>
          <w:color w:val="000000"/>
          <w:sz w:val="22"/>
          <w:szCs w:val="22"/>
        </w:rPr>
        <w:t>………………………………………………………………</w:t>
      </w:r>
      <w:r>
        <w:rPr>
          <w:rFonts w:cs="Tahoma"/>
          <w:color w:val="000000"/>
          <w:sz w:val="22"/>
          <w:szCs w:val="22"/>
        </w:rPr>
        <w:t>...</w:t>
      </w:r>
    </w:p>
    <w:p>
      <w:pPr>
        <w:pStyle w:val="BodyText"/>
        <w:spacing w:lineRule="auto" w:line="240" w:before="120" w:after="0"/>
        <w:jc w:val="both"/>
        <w:rPr>
          <w:rFonts w:ascii="Calibri" w:hAnsi="Calibri"/>
          <w:sz w:val="22"/>
          <w:szCs w:val="22"/>
        </w:rPr>
      </w:pPr>
      <w:r>
        <w:rPr>
          <w:color w:val="000000"/>
          <w:sz w:val="22"/>
          <w:szCs w:val="22"/>
        </w:rPr>
        <w:t xml:space="preserve">zwanym w dalszej treści umowy </w:t>
      </w:r>
      <w:r>
        <w:rPr>
          <w:b/>
          <w:color w:val="000000"/>
          <w:sz w:val="22"/>
          <w:szCs w:val="22"/>
        </w:rPr>
        <w:t>„Wykonawcą”</w:t>
      </w:r>
    </w:p>
    <w:p>
      <w:pPr>
        <w:pStyle w:val="NormalWeb"/>
        <w:pBdr>
          <w:bottom w:val="single" w:sz="6" w:space="1" w:color="00000A"/>
        </w:pBdr>
        <w:shd w:val="clear" w:color="auto" w:fill="FFFFFF"/>
        <w:spacing w:lineRule="auto" w:line="240" w:beforeAutospacing="0" w:before="0" w:afterAutospacing="0" w:after="0"/>
        <w:jc w:val="both"/>
        <w:rPr>
          <w:rFonts w:ascii="Calibri" w:hAnsi="Calibri"/>
          <w:sz w:val="22"/>
          <w:szCs w:val="22"/>
        </w:rPr>
      </w:pPr>
      <w:r>
        <w:rPr>
          <w:rFonts w:cs="Calibri" w:ascii="Calibri" w:hAnsi="Calibri"/>
          <w:b w:val="false"/>
          <w:bCs w:val="false"/>
          <w:iCs/>
          <w:color w:val="auto"/>
          <w:sz w:val="22"/>
          <w:szCs w:val="22"/>
        </w:rPr>
        <w:t>łącznie dalej zwanymi</w:t>
      </w:r>
      <w:r>
        <w:rPr>
          <w:rFonts w:cs="Calibri" w:ascii="Calibri" w:hAnsi="Calibri"/>
          <w:b/>
          <w:bCs/>
          <w:iCs/>
          <w:color w:val="auto"/>
          <w:sz w:val="22"/>
          <w:szCs w:val="22"/>
        </w:rPr>
        <w:t xml:space="preserve"> </w:t>
      </w:r>
      <w:r>
        <w:rPr>
          <w:rFonts w:cs="Calibri" w:ascii="Calibri" w:hAnsi="Calibri"/>
          <w:b/>
          <w:iCs/>
          <w:color w:val="auto"/>
          <w:sz w:val="22"/>
          <w:szCs w:val="22"/>
        </w:rPr>
        <w:t>STRONAM</w:t>
      </w:r>
      <w:r>
        <w:rPr>
          <w:rFonts w:cs="Calibri" w:ascii="Calibri" w:hAnsi="Calibri"/>
          <w:b/>
          <w:bCs/>
          <w:iCs/>
          <w:color w:val="auto"/>
          <w:sz w:val="22"/>
          <w:szCs w:val="22"/>
        </w:rPr>
        <w:t xml:space="preserve">I, a każda z osobna </w:t>
      </w:r>
      <w:r>
        <w:rPr>
          <w:rFonts w:cs="Calibri" w:ascii="Calibri" w:hAnsi="Calibri"/>
          <w:b/>
          <w:iCs/>
          <w:color w:val="auto"/>
          <w:sz w:val="22"/>
          <w:szCs w:val="22"/>
        </w:rPr>
        <w:t>STRONĄ.</w:t>
      </w:r>
    </w:p>
    <w:p>
      <w:pPr>
        <w:pStyle w:val="NormalWeb"/>
        <w:pBdr>
          <w:bottom w:val="single" w:sz="6" w:space="1" w:color="00000A"/>
        </w:pBdr>
        <w:shd w:val="clear" w:color="auto" w:fill="FFFFFF"/>
        <w:spacing w:lineRule="auto" w:line="276" w:beforeAutospacing="0" w:before="0" w:afterAutospacing="0" w:after="0"/>
        <w:jc w:val="both"/>
        <w:rPr>
          <w:rFonts w:ascii="Calibri" w:hAnsi="Calibri" w:cs="Calibri"/>
          <w:b/>
          <w:i/>
          <w:color w:val="auto"/>
          <w:sz w:val="22"/>
          <w:szCs w:val="22"/>
          <w:highlight w:val="none"/>
          <w:shd w:fill="FFFFFF" w:val="clear"/>
        </w:rPr>
      </w:pPr>
      <w:r>
        <w:rPr>
          <w:rFonts w:cs="Calibri" w:ascii="Calibri" w:hAnsi="Calibri"/>
          <w:b/>
          <w:i/>
          <w:color w:val="auto"/>
          <w:sz w:val="22"/>
          <w:szCs w:val="22"/>
          <w:shd w:fill="FFFFFF" w:val="clear"/>
        </w:rPr>
      </w:r>
    </w:p>
    <w:p>
      <w:pPr>
        <w:pStyle w:val="Normal"/>
        <w:widowControl/>
        <w:suppressAutoHyphens w:val="true"/>
        <w:bidi w:val="0"/>
        <w:spacing w:lineRule="auto" w:line="262" w:before="0" w:after="5"/>
        <w:ind w:hanging="340" w:left="0" w:right="0"/>
        <w:jc w:val="both"/>
        <w:rPr/>
      </w:pPr>
      <w:r>
        <w:rPr>
          <w:rFonts w:cs="Tahoma"/>
          <w:bCs/>
          <w:color w:val="000000"/>
          <w:sz w:val="22"/>
          <w:szCs w:val="22"/>
          <w:u w:val="none"/>
          <w:shd w:fill="FFFFFF" w:val="clear"/>
        </w:rPr>
        <w:t xml:space="preserve">      </w:t>
      </w:r>
      <w:r>
        <w:rPr>
          <w:rFonts w:cs="Tahoma"/>
          <w:bCs/>
          <w:color w:val="000000"/>
          <w:sz w:val="22"/>
          <w:szCs w:val="22"/>
          <w:u w:val="none"/>
          <w:shd w:fill="FFFFFF" w:val="clear"/>
        </w:rPr>
        <w:t>wyłonionym w postępowaniu o udzielenie zamówienia publicznego pn.:</w:t>
      </w:r>
      <w:r>
        <w:rPr>
          <w:rFonts w:cs="Tahoma"/>
          <w:b/>
          <w:bCs/>
          <w:color w:val="000000"/>
          <w:sz w:val="22"/>
          <w:szCs w:val="22"/>
          <w:u w:val="none"/>
          <w:shd w:fill="FFFFFF" w:val="clear"/>
        </w:rPr>
        <w:t>,,</w:t>
      </w:r>
      <w:r>
        <w:rPr>
          <w:rFonts w:eastAsia="" w:cs="Tahoma"/>
          <w:b/>
          <w:bCs/>
          <w:i w:val="false"/>
          <w:iCs w:val="false"/>
          <w:strike w:val="false"/>
          <w:dstrike w:val="false"/>
          <w:outline w:val="false"/>
          <w:shadow w:val="false"/>
          <w:color w:val="auto"/>
          <w:kern w:val="0"/>
          <w:sz w:val="22"/>
          <w:szCs w:val="22"/>
          <w:u w:val="none"/>
          <w:shd w:fill="FFFFFF" w:val="clear"/>
          <w:em w:val="none"/>
          <w:lang w:val="pl-PL" w:eastAsia="en-US" w:bidi="ar-SA"/>
        </w:rPr>
        <w:t xml:space="preserve">Zakup licencji AMMS wraz z </w:t>
      </w:r>
      <w:r>
        <w:rPr>
          <w:rFonts w:eastAsia="" w:cs="Tahoma"/>
          <w:b/>
          <w:bCs/>
          <w:i w:val="false"/>
          <w:iCs w:val="false"/>
          <w:strike w:val="false"/>
          <w:dstrike w:val="false"/>
          <w:outline w:val="false"/>
          <w:shadow w:val="false"/>
          <w:color w:val="000000"/>
          <w:kern w:val="0"/>
          <w:sz w:val="22"/>
          <w:szCs w:val="22"/>
          <w:u w:val="none"/>
          <w:shd w:fill="FFFFFF" w:val="clear"/>
          <w:em w:val="none"/>
          <w:lang w:val="pl-PL" w:eastAsia="en-US" w:bidi="ar-SA"/>
        </w:rPr>
        <w:t xml:space="preserve">nadzorem i wdrożeniem, </w:t>
      </w:r>
      <w:r>
        <w:rPr>
          <w:rFonts w:eastAsia="" w:cs="Tahoma"/>
          <w:b/>
          <w:bCs/>
          <w:i w:val="false"/>
          <w:iCs w:val="false"/>
          <w:strike w:val="false"/>
          <w:dstrike w:val="false"/>
          <w:outline w:val="false"/>
          <w:shadow w:val="false"/>
          <w:color w:val="auto"/>
          <w:kern w:val="0"/>
          <w:sz w:val="22"/>
          <w:szCs w:val="22"/>
          <w:u w:val="none"/>
          <w:shd w:fill="FFFFFF" w:val="clear"/>
          <w:em w:val="none"/>
          <w:lang w:val="pl-PL" w:eastAsia="en-US" w:bidi="ar-SA"/>
        </w:rPr>
        <w:t xml:space="preserve">integracją systemów informatycznych </w:t>
      </w:r>
      <w:r>
        <w:rPr>
          <w:rFonts w:eastAsia="Tahoma" w:cs="Tahoma"/>
          <w:b/>
          <w:bCs/>
          <w:i w:val="false"/>
          <w:iCs w:val="false"/>
          <w:strike w:val="false"/>
          <w:dstrike w:val="false"/>
          <w:outline w:val="false"/>
          <w:shadow w:val="false"/>
          <w:color w:val="auto"/>
          <w:kern w:val="0"/>
          <w:sz w:val="22"/>
          <w:szCs w:val="22"/>
          <w:u w:val="none"/>
          <w:shd w:fill="FFFFFF" w:val="clear"/>
          <w:em w:val="none"/>
          <w:lang w:val="pl-PL" w:eastAsia="en-US" w:bidi="ar-SA"/>
        </w:rPr>
        <w:t>Szpitala Powiatowego im. Tadeusza Malińskiego w Śremie sp. z o. o. – II</w:t>
      </w:r>
      <w:r>
        <w:rPr>
          <w:rFonts w:eastAsia="Tahoma" w:cs="Tahoma"/>
          <w:b/>
          <w:bCs/>
          <w:i w:val="false"/>
          <w:iCs w:val="false"/>
          <w:strike w:val="false"/>
          <w:dstrike w:val="false"/>
          <w:outline w:val="false"/>
          <w:shadow w:val="false"/>
          <w:color w:val="auto"/>
          <w:kern w:val="0"/>
          <w:sz w:val="22"/>
          <w:szCs w:val="22"/>
          <w:u w:val="none"/>
          <w:shd w:fill="FFFFFF" w:val="clear"/>
          <w:em w:val="none"/>
          <w:lang w:val="pl-PL" w:eastAsia="en-US" w:bidi="ar-SA"/>
        </w:rPr>
        <w:t>I</w:t>
      </w:r>
      <w:r>
        <w:rPr>
          <w:rFonts w:eastAsia="Tahoma" w:cs="Tahoma"/>
          <w:b/>
          <w:bCs/>
          <w:i w:val="false"/>
          <w:iCs w:val="false"/>
          <w:strike w:val="false"/>
          <w:dstrike w:val="false"/>
          <w:outline w:val="false"/>
          <w:shadow w:val="false"/>
          <w:color w:val="auto"/>
          <w:kern w:val="0"/>
          <w:sz w:val="22"/>
          <w:szCs w:val="22"/>
          <w:u w:val="none"/>
          <w:shd w:fill="FFFFFF" w:val="clear"/>
          <w:em w:val="none"/>
          <w:lang w:val="pl-PL" w:eastAsia="en-US" w:bidi="ar-SA"/>
        </w:rPr>
        <w:t xml:space="preserve"> cz.</w:t>
      </w:r>
      <w:r>
        <w:rPr>
          <w:rFonts w:cs="Tahoma"/>
          <w:b/>
          <w:bCs/>
          <w:color w:val="000000"/>
          <w:sz w:val="22"/>
          <w:szCs w:val="22"/>
          <w:u w:val="none"/>
          <w:shd w:fill="FFFFFF" w:val="clear"/>
        </w:rPr>
        <w:t>”</w:t>
      </w:r>
      <w:r>
        <w:rPr>
          <w:rFonts w:cs="Tahoma"/>
          <w:color w:val="00000A"/>
          <w:sz w:val="22"/>
          <w:szCs w:val="22"/>
          <w:u w:val="none"/>
          <w:shd w:fill="FFFFFF" w:val="clear"/>
          <w:lang w:eastAsia="en-US"/>
        </w:rPr>
        <w:t xml:space="preserve"> przedsięwzięcie pn.: </w:t>
      </w:r>
      <w:r>
        <w:rPr>
          <w:rStyle w:val="Strong"/>
          <w:rFonts w:eastAsia="Tahoma" w:cs="Tahoma"/>
          <w:color w:val="1B1B1B"/>
          <w:sz w:val="22"/>
          <w:szCs w:val="22"/>
          <w:u w:val="none"/>
          <w:shd w:fill="FFFFFF" w:val="clear"/>
          <w:lang w:eastAsia="en-US"/>
        </w:rPr>
        <w:t xml:space="preserve">Transformacja cyfrowa Szpitala Powiatowego im. Tadeusza Malińskiego w Śremie sp. z o. o., </w:t>
      </w:r>
      <w:r>
        <w:rPr>
          <w:rStyle w:val="Strong"/>
          <w:rFonts w:cs="Tahoma"/>
          <w:color w:val="000000"/>
          <w:sz w:val="22"/>
          <w:szCs w:val="22"/>
          <w:u w:val="none"/>
          <w:shd w:fill="FFFFFF" w:val="clear"/>
          <w:lang w:eastAsia="en-US"/>
        </w:rPr>
        <w:t xml:space="preserve">realizowane w ramach </w:t>
      </w:r>
      <w:r>
        <w:rPr>
          <w:rStyle w:val="Strong"/>
          <w:rFonts w:cs="Tahoma"/>
          <w:color w:val="1B1B1B"/>
          <w:sz w:val="22"/>
          <w:szCs w:val="22"/>
          <w:u w:val="none"/>
          <w:shd w:fill="FFFFFF" w:val="clear"/>
          <w:lang w:eastAsia="en-US"/>
        </w:rPr>
        <w:t>Krajowego Planu Odbudowy i Zwiększania Odporności -</w:t>
      </w:r>
      <w:r>
        <w:rPr>
          <w:rStyle w:val="Strong"/>
          <w:rFonts w:eastAsia="Tahoma" w:cs="Tahoma"/>
          <w:color w:val="000000"/>
          <w:sz w:val="22"/>
          <w:szCs w:val="22"/>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b/>
          <w:bCs/>
          <w:color w:val="000000"/>
          <w:sz w:val="22"/>
          <w:szCs w:val="22"/>
          <w:u w:val="none"/>
          <w:shd w:fill="FFFFFF" w:val="clear"/>
          <w:lang w:eastAsia="pl-PL"/>
        </w:rPr>
        <w:t xml:space="preserve"> </w:t>
      </w:r>
      <w:r>
        <w:rPr>
          <w:rStyle w:val="Domylnaczcionkaakapitu"/>
          <w:rFonts w:eastAsia="Tahoma" w:cs="Tahoma"/>
          <w:b w:val="false"/>
          <w:bCs w:val="false"/>
          <w:color w:val="000000"/>
          <w:sz w:val="22"/>
          <w:szCs w:val="22"/>
          <w:u w:val="none"/>
          <w:shd w:fill="FFFFFF" w:val="clear"/>
          <w:lang w:eastAsia="pl-PL"/>
        </w:rPr>
        <w:t>przeprowadzonym w trybie przetargu nieograniczonego na  podstawie  art. 132  ustawy z dnia  11 września 2019 r. - Prawo  zamówień  publicznych  (Dz. U. 2024r. Poz. 1320 z późn.  zm. ) oznaczonym  nr  sprawy  ZP/11/PN/26,   rozstrzygniętym  dnia …………………...</w:t>
      </w:r>
      <w:r>
        <w:rPr>
          <w:rFonts w:cs="Calibri"/>
          <w:i/>
          <w:iCs/>
          <w:color w:val="auto"/>
          <w:sz w:val="22"/>
          <w:szCs w:val="22"/>
          <w:shd w:fill="FFFFFF" w:val="clear"/>
        </w:rPr>
        <w:t xml:space="preserve"> Strony zawierają umowę (dalej „Umowa”) o następującej treści:</w:t>
      </w:r>
    </w:p>
    <w:p>
      <w:pPr>
        <w:pStyle w:val="NormalWeb"/>
        <w:shd w:val="clear" w:color="auto" w:fill="FFFFFF"/>
        <w:spacing w:lineRule="auto" w:line="276" w:beforeAutospacing="0" w:before="0" w:afterAutospacing="0" w:after="0"/>
        <w:jc w:val="center"/>
        <w:rPr/>
      </w:pPr>
      <w:r>
        <w:rPr>
          <w:rStyle w:val="Strong"/>
          <w:rFonts w:cs="Calibri" w:ascii="Calibri" w:hAnsi="Calibri" w:asciiTheme="minorHAnsi" w:cstheme="minorHAnsi" w:hAnsiTheme="minorHAnsi"/>
          <w:color w:val="auto"/>
          <w:sz w:val="22"/>
          <w:szCs w:val="22"/>
          <w:shd w:fill="FFFFFF" w:val="clear"/>
        </w:rPr>
        <w:t>§ 1</w:t>
      </w:r>
    </w:p>
    <w:p>
      <w:pPr>
        <w:pStyle w:val="NormalWeb"/>
        <w:shd w:val="clear" w:color="auto" w:fill="FFFFFF"/>
        <w:spacing w:lineRule="auto" w:line="276" w:beforeAutospacing="0" w:before="0" w:afterAutospacing="0" w:after="0"/>
        <w:jc w:val="center"/>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b/>
          <w:color w:val="auto"/>
          <w:sz w:val="22"/>
          <w:szCs w:val="22"/>
        </w:rPr>
        <w:t>DEFINICJE</w:t>
      </w:r>
    </w:p>
    <w:p>
      <w:pPr>
        <w:pStyle w:val="NormalWeb"/>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Ilekroć w postanowieniach niniejszej umowy pojęcia wymienione w poniższych punktach zostały napisane dużą literą, pojęciom tym nadaje się znaczenie określone poniżej, chyba że określony termin został użyty w innym znaczeniu, co zostało wyraźnie zaznaczone w odpowiednim postanowieniu lub odmienne znaczenie danego pojęcia wynika z oczywistego kontekstu, w jakim zostało ono użyte w przedmiotowym postanowieniu, a Strony zgodne są co do takiego znaczenia, odmiennego od określonego w poniższych punktach:</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Cs w:val="false"/>
          <w:color w:val="auto"/>
          <w:sz w:val="22"/>
          <w:szCs w:val="22"/>
        </w:rPr>
        <w:t>Analiza Przedwdrożeniowa</w:t>
      </w:r>
      <w:r>
        <w:rPr>
          <w:rStyle w:val="Strong"/>
          <w:rFonts w:cs="Calibri" w:ascii="Calibri" w:hAnsi="Calibri" w:asciiTheme="minorHAnsi" w:cstheme="minorHAnsi" w:hAnsiTheme="minorHAnsi"/>
          <w:b w:val="false"/>
          <w:bCs w:val="false"/>
          <w:color w:val="auto"/>
          <w:sz w:val="22"/>
          <w:szCs w:val="22"/>
        </w:rPr>
        <w:t xml:space="preserve"> – proces polegający na rozpoznaniu potrzeb, wymagań i istniejących procesów Zamawiającego, mający rezultat w opracowanej przez Wykonawcę Dokumentacji Analizy Przedwdrożeniowej (DAP), którego celem jest określenie optymalnego sposobu wykonania Wdrożenia Oprogramowania Aplikacyjnego (w szczególności zasad i metod Wdrożenia). W ramach Analizy Wykonawca przygotuje Harmonogram. </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color w:val="auto"/>
          <w:sz w:val="22"/>
          <w:szCs w:val="22"/>
        </w:rPr>
        <w:t>Dokumentacja Analizy Przedwdrożeniowej (DAP)</w:t>
      </w:r>
      <w:r>
        <w:rPr>
          <w:rStyle w:val="Strong"/>
          <w:rFonts w:cs="Calibri" w:ascii="Calibri" w:hAnsi="Calibri" w:asciiTheme="minorHAnsi" w:cstheme="minorHAnsi" w:hAnsiTheme="minorHAnsi"/>
          <w:b w:val="false"/>
          <w:bCs w:val="false"/>
          <w:color w:val="auto"/>
          <w:sz w:val="22"/>
          <w:szCs w:val="22"/>
        </w:rPr>
        <w:t xml:space="preserve"> – zbiór informacji, wniosków, rekomendacji i innych dokumentów opracowanych przez Wykonawcę w ramach Analizy Przedwdrożeniowej.</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color w:val="auto"/>
          <w:sz w:val="22"/>
          <w:szCs w:val="22"/>
        </w:rPr>
        <w:t>Dokumentacja Powykonawcza</w:t>
      </w:r>
      <w:r>
        <w:rPr>
          <w:rStyle w:val="Strong"/>
          <w:rFonts w:cs="Calibri" w:ascii="Calibri" w:hAnsi="Calibri" w:asciiTheme="minorHAnsi" w:cstheme="minorHAnsi" w:hAnsiTheme="minorHAnsi"/>
          <w:b w:val="false"/>
          <w:bCs w:val="false"/>
          <w:color w:val="auto"/>
          <w:sz w:val="22"/>
          <w:szCs w:val="22"/>
        </w:rPr>
        <w:t xml:space="preserve"> – opis tego jak system został stworzony, zainstalowany i skonfigurowany. Dokumentacja powykonawcza powinna zawierać m.in.: </w:t>
      </w:r>
    </w:p>
    <w:p>
      <w:pPr>
        <w:pStyle w:val="NormalWeb"/>
        <w:numPr>
          <w:ilvl w:val="0"/>
          <w:numId w:val="44"/>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Dokumentację administratora – czyli zestaw elementów niezbędnych do tego, aby zarządzać Systemem Informatycznym administratora IT po jego wdrożeniu, w szczególności powinna zawierać wszystkie loginy i hasła administracyjne (w postaci zaszyfrowanej);</w:t>
      </w:r>
    </w:p>
    <w:p>
      <w:pPr>
        <w:pStyle w:val="NormalWeb"/>
        <w:numPr>
          <w:ilvl w:val="0"/>
          <w:numId w:val="44"/>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Dokumentację użytkownika – czyli instrukcję obsługi jak korzystać z Systemu Informatycznego.</w:t>
      </w:r>
    </w:p>
    <w:p>
      <w:pPr>
        <w:pStyle w:val="NormalWeb"/>
        <w:numPr>
          <w:ilvl w:val="0"/>
          <w:numId w:val="11"/>
        </w:numPr>
        <w:shd w:val="clear" w:color="auto" w:fill="FFFFFF" w:themeFill="background1"/>
        <w:spacing w:lineRule="auto" w:line="276" w:beforeAutospacing="0" w:before="0" w:afterAutospacing="0" w:after="0"/>
        <w:jc w:val="both"/>
        <w:rPr>
          <w:rStyle w:val="Strong"/>
          <w:rFonts w:ascii="Calibri" w:hAnsi="Calibri" w:cs="" w:asciiTheme="minorHAnsi" w:cstheme="minorBidi" w:hAnsiTheme="minorHAnsi"/>
          <w:b w:val="false"/>
          <w:color w:val="auto"/>
          <w:sz w:val="22"/>
          <w:szCs w:val="22"/>
        </w:rPr>
      </w:pPr>
      <w:r>
        <w:rPr>
          <w:rStyle w:val="Strong"/>
          <w:rFonts w:cs="" w:ascii="Calibri" w:hAnsi="Calibri" w:asciiTheme="minorHAnsi" w:cstheme="minorBidi" w:hAnsiTheme="minorHAnsi"/>
          <w:color w:val="auto"/>
          <w:sz w:val="22"/>
          <w:szCs w:val="22"/>
        </w:rPr>
        <w:t xml:space="preserve">Dokumentacja Przedmiotu Umowy </w:t>
      </w:r>
      <w:r>
        <w:rPr>
          <w:rStyle w:val="Strong"/>
          <w:rFonts w:cs="" w:ascii="Calibri" w:hAnsi="Calibri" w:asciiTheme="minorHAnsi" w:cstheme="minorBidi" w:hAnsiTheme="minorHAnsi"/>
          <w:b w:val="false"/>
          <w:color w:val="auto"/>
          <w:sz w:val="22"/>
          <w:szCs w:val="22"/>
        </w:rPr>
        <w:t xml:space="preserve">– opracowana w ramach procesu prac przez Wykonawcę dokumentacja składająca się </w:t>
      </w:r>
      <w:r>
        <w:rPr>
          <w:rStyle w:val="Strong"/>
          <w:rFonts w:cs="" w:ascii="Calibri" w:hAnsi="Calibri" w:asciiTheme="minorHAnsi" w:cstheme="minorBidi" w:hAnsiTheme="minorHAnsi"/>
          <w:b w:val="false"/>
          <w:bCs w:val="false"/>
          <w:color w:val="auto"/>
          <w:sz w:val="22"/>
          <w:szCs w:val="22"/>
        </w:rPr>
        <w:t>z</w:t>
      </w:r>
      <w:r>
        <w:rPr>
          <w:rStyle w:val="Strong"/>
          <w:rFonts w:cs="" w:ascii="Calibri" w:hAnsi="Calibri" w:asciiTheme="minorHAnsi" w:cstheme="minorBidi" w:hAnsiTheme="minorHAnsi"/>
          <w:b w:val="false"/>
          <w:color w:val="auto"/>
          <w:sz w:val="22"/>
          <w:szCs w:val="22"/>
        </w:rPr>
        <w:t>:</w:t>
      </w:r>
    </w:p>
    <w:p>
      <w:pPr>
        <w:pStyle w:val="NormalWeb"/>
        <w:numPr>
          <w:ilvl w:val="0"/>
          <w:numId w:val="43"/>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Harmonogramu;</w:t>
      </w:r>
    </w:p>
    <w:p>
      <w:pPr>
        <w:pStyle w:val="NormalWeb"/>
        <w:numPr>
          <w:ilvl w:val="0"/>
          <w:numId w:val="43"/>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 w:val="false"/>
          <w:bCs w:val="false"/>
          <w:color w:val="auto"/>
          <w:sz w:val="22"/>
          <w:szCs w:val="22"/>
        </w:rPr>
      </w:pPr>
      <w:r>
        <w:rPr>
          <w:rStyle w:val="Strong"/>
          <w:rFonts w:cs="Calibri" w:ascii="Calibri" w:hAnsi="Calibri" w:asciiTheme="minorHAnsi" w:cstheme="minorHAnsi" w:hAnsiTheme="minorHAnsi"/>
          <w:b w:val="false"/>
          <w:bCs w:val="false"/>
          <w:color w:val="auto"/>
          <w:sz w:val="22"/>
          <w:szCs w:val="22"/>
        </w:rPr>
        <w:t>Dokumentacji Analizy Przedwdrożeniowej (DAP);</w:t>
      </w:r>
    </w:p>
    <w:p>
      <w:pPr>
        <w:pStyle w:val="NormalWeb"/>
        <w:numPr>
          <w:ilvl w:val="0"/>
          <w:numId w:val="43"/>
        </w:numPr>
        <w:shd w:val="clear" w:color="auto" w:fill="FFFFFF" w:themeFill="background1"/>
        <w:spacing w:lineRule="auto" w:line="276" w:beforeAutospacing="0" w:before="0" w:afterAutospacing="0" w:after="0"/>
        <w:jc w:val="both"/>
        <w:rPr>
          <w:rStyle w:val="Strong"/>
          <w:rFonts w:ascii="Calibri" w:hAnsi="Calibri" w:cs="" w:asciiTheme="minorHAnsi" w:cstheme="minorBidi" w:hAnsiTheme="minorHAnsi"/>
          <w:b w:val="false"/>
          <w:bCs w:val="false"/>
          <w:color w:val="auto"/>
          <w:sz w:val="22"/>
          <w:szCs w:val="22"/>
        </w:rPr>
      </w:pPr>
      <w:r>
        <w:rPr>
          <w:rStyle w:val="Strong"/>
          <w:rFonts w:cs="" w:ascii="Calibri" w:hAnsi="Calibri" w:asciiTheme="minorHAnsi" w:cstheme="minorBidi" w:hAnsiTheme="minorHAnsi"/>
          <w:b w:val="false"/>
          <w:color w:val="auto"/>
          <w:sz w:val="22"/>
          <w:szCs w:val="22"/>
        </w:rPr>
        <w:t>Dokumentacji Powykonawczej</w:t>
      </w:r>
      <w:r>
        <w:rPr>
          <w:rStyle w:val="Strong"/>
          <w:rFonts w:cs="" w:ascii="Calibri" w:hAnsi="Calibri" w:asciiTheme="minorHAnsi" w:cstheme="minorBidi" w:hAnsiTheme="minorHAnsi"/>
          <w:b w:val="false"/>
          <w:bCs w:val="false"/>
          <w:color w:val="auto"/>
          <w:sz w:val="22"/>
          <w:szCs w:val="22"/>
        </w:rPr>
        <w:t>;</w:t>
      </w:r>
    </w:p>
    <w:p>
      <w:pPr>
        <w:pStyle w:val="NormalWeb"/>
        <w:numPr>
          <w:ilvl w:val="0"/>
          <w:numId w:val="43"/>
        </w:numPr>
        <w:shd w:val="clear" w:color="auto" w:fill="FFFFFF" w:themeFill="background1"/>
        <w:spacing w:lineRule="auto" w:line="276" w:beforeAutospacing="0" w:before="0" w:afterAutospacing="0" w:after="0"/>
        <w:jc w:val="both"/>
        <w:rPr>
          <w:rStyle w:val="Strong"/>
          <w:rFonts w:ascii="Calibri" w:hAnsi="Calibri" w:cs="" w:asciiTheme="minorHAnsi" w:cstheme="minorBidi" w:hAnsiTheme="minorHAnsi"/>
          <w:b w:val="false"/>
          <w:color w:val="auto"/>
          <w:sz w:val="22"/>
          <w:szCs w:val="22"/>
        </w:rPr>
      </w:pPr>
      <w:r>
        <w:rPr>
          <w:rStyle w:val="Strong"/>
          <w:rFonts w:cs="" w:ascii="Calibri" w:hAnsi="Calibri" w:asciiTheme="minorHAnsi" w:cstheme="minorBidi" w:hAnsiTheme="minorHAnsi"/>
          <w:b w:val="false"/>
          <w:bCs w:val="false"/>
          <w:color w:val="auto"/>
          <w:sz w:val="22"/>
          <w:szCs w:val="22"/>
        </w:rPr>
        <w:t>Planu testów.</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Dzień roboczy </w:t>
      </w:r>
      <w:r>
        <w:rPr>
          <w:rStyle w:val="Strong"/>
          <w:rFonts w:cs="Calibri" w:ascii="Calibri" w:hAnsi="Calibri" w:asciiTheme="minorHAnsi" w:cstheme="minorHAnsi" w:hAnsiTheme="minorHAnsi"/>
          <w:b w:val="false"/>
          <w:bCs w:val="false"/>
          <w:color w:val="auto"/>
          <w:sz w:val="22"/>
          <w:szCs w:val="22"/>
        </w:rPr>
        <w:t>- dzień od poniedziałku do piątku w godzinach od 8.00 do 16.00 z wyjątkiem dni ustawowo wolnych od pracy w Polsce.</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Harmonogram </w:t>
      </w:r>
      <w:r>
        <w:rPr>
          <w:rStyle w:val="Strong"/>
          <w:rFonts w:cs="Calibri" w:ascii="Calibri" w:hAnsi="Calibri" w:asciiTheme="minorHAnsi" w:cstheme="minorHAnsi" w:hAnsiTheme="minorHAnsi"/>
          <w:b w:val="false"/>
          <w:color w:val="auto"/>
          <w:sz w:val="22"/>
          <w:szCs w:val="22"/>
        </w:rPr>
        <w:t>– dokument określający szczegółowe terminy realizacji Przedmiotu Umowy, opracowany przez Wykonawcę w ramach Analizy Przedwdrożeniowej.</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Infrastruktura Zamawiającego </w:t>
      </w:r>
      <w:r>
        <w:rPr>
          <w:rStyle w:val="Strong"/>
          <w:rFonts w:cs="Calibri" w:ascii="Calibri" w:hAnsi="Calibri" w:asciiTheme="minorHAnsi" w:cstheme="minorHAnsi" w:hAnsiTheme="minorHAnsi"/>
          <w:b w:val="false"/>
          <w:bCs w:val="false"/>
          <w:color w:val="auto"/>
          <w:sz w:val="22"/>
          <w:szCs w:val="22"/>
        </w:rPr>
        <w:t>– sprzęt (m.in. komputerowy i serwery), oprogramowanie, infrastruktura komunikacyjna Zamawiającego.</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Kierownik Projektu</w:t>
      </w:r>
      <w:r>
        <w:rPr>
          <w:rStyle w:val="Strong"/>
          <w:rFonts w:cs="Calibri" w:ascii="Calibri" w:hAnsi="Calibri" w:asciiTheme="minorHAnsi" w:cstheme="minorHAnsi" w:hAnsiTheme="minorHAnsi"/>
          <w:b w:val="false"/>
          <w:bCs w:val="false"/>
          <w:color w:val="auto"/>
          <w:sz w:val="22"/>
          <w:szCs w:val="22"/>
        </w:rPr>
        <w:t xml:space="preserve"> – osoba fizyczna wyznaczona w treści Umowy przez każdą ze Stron do nadzoru nad Umową oraz do bezpośrednich kontaktów.</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Licencja – </w:t>
      </w:r>
      <w:r>
        <w:rPr>
          <w:rStyle w:val="Strong"/>
          <w:rFonts w:cs="Calibri" w:ascii="Calibri" w:hAnsi="Calibri" w:asciiTheme="minorHAnsi" w:cstheme="minorHAnsi" w:hAnsiTheme="minorHAnsi"/>
          <w:b w:val="false"/>
          <w:color w:val="auto"/>
          <w:sz w:val="22"/>
          <w:szCs w:val="22"/>
        </w:rPr>
        <w:t xml:space="preserve">uprawnienie do korzystania przez Zamawiającego z </w:t>
      </w:r>
      <w:r>
        <w:rPr>
          <w:rFonts w:cs="Calibri" w:ascii="Calibri" w:hAnsi="Calibri" w:asciiTheme="minorHAnsi" w:cstheme="minorHAnsi" w:hAnsiTheme="minorHAnsi"/>
          <w:color w:val="auto"/>
          <w:sz w:val="22"/>
          <w:szCs w:val="22"/>
        </w:rPr>
        <w:t>Oprogramowania Aplikacyjnego zainstalowanego w ramach Wdrożenia, udzielone przez Wykonawcę w terminie, zakresie i na warunkach określonych w Załączniku nr 4; na potrzeby realizacji Wdrożenia Wykonawca dostarczy Zamawiającemu czasowy klucz techniczny umożliwiający uruchomienie Oprogramowania Aplikacyjnego .</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Odbiór</w:t>
      </w:r>
      <w:r>
        <w:rPr>
          <w:rStyle w:val="Strong"/>
          <w:rFonts w:cs="Calibri" w:ascii="Calibri" w:hAnsi="Calibri" w:asciiTheme="minorHAnsi" w:cstheme="minorHAnsi" w:hAnsiTheme="minorHAnsi"/>
          <w:b w:val="false"/>
          <w:bCs w:val="false"/>
          <w:color w:val="auto"/>
          <w:sz w:val="22"/>
          <w:szCs w:val="22"/>
        </w:rPr>
        <w:t xml:space="preserve"> – potwierdzenie należytego wykonania Umowy w zakresie wykonania poszczególnych elementów lub całości Umowy. Dowodem dokonania Odbioru jest odpowiedni Protokół Odbioru podpisany przez Strony lub Protokół Odbioru Jednostronnego podpisany zgodnie z procedurą wskazaną w Umowie; wyróżnia się Odbiór Wdrożenia, Odbiór Przedmiotu Umowy, Odbiór Jednostronny.</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Oprogramowanie Systemowe</w:t>
      </w:r>
      <w:r>
        <w:rPr>
          <w:rStyle w:val="Strong"/>
          <w:rFonts w:cs="Calibri" w:ascii="Calibri" w:hAnsi="Calibri" w:asciiTheme="minorHAnsi" w:cstheme="minorHAnsi" w:hAnsiTheme="minorHAnsi"/>
          <w:b w:val="false"/>
          <w:bCs w:val="false"/>
          <w:color w:val="auto"/>
          <w:sz w:val="22"/>
          <w:szCs w:val="22"/>
        </w:rPr>
        <w:t xml:space="preserve"> - oprogramowanie tworzące środowisko, w którym uruchamiane jest Oprogramowanie Aplikacyjne, w tym oprogramowanie systemowe lub bazodanowe. Oprogramowanie Systemowe jest wymienione w Załączniku nr 2.</w:t>
      </w:r>
    </w:p>
    <w:p>
      <w:pPr>
        <w:pStyle w:val="NormalWeb"/>
        <w:numPr>
          <w:ilvl w:val="0"/>
          <w:numId w:val="11"/>
        </w:numPr>
        <w:shd w:val="clear" w:color="auto" w:fill="FFFFFF" w:themeFill="background1"/>
        <w:spacing w:lineRule="auto" w:line="276" w:beforeAutospacing="0" w:before="0" w:afterAutospacing="0" w:after="0"/>
        <w:jc w:val="both"/>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Oprogramowanie Aplikacyjne</w:t>
      </w:r>
      <w:r>
        <w:rPr>
          <w:rStyle w:val="Strong"/>
          <w:rFonts w:cs="Calibri" w:ascii="Calibri" w:hAnsi="Calibri" w:asciiTheme="minorHAnsi" w:cstheme="minorHAnsi" w:hAnsiTheme="minorHAnsi"/>
          <w:b w:val="false"/>
          <w:bCs w:val="false"/>
          <w:color w:val="auto"/>
          <w:sz w:val="22"/>
          <w:szCs w:val="22"/>
        </w:rPr>
        <w:t xml:space="preserve"> - oprogramowanie dostarczane w ramach Umowy, wymienione w Załączniku nr 2.</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color w:val="auto"/>
          <w:sz w:val="22"/>
          <w:szCs w:val="22"/>
        </w:rPr>
        <w:t xml:space="preserve">OPZ – </w:t>
      </w:r>
      <w:r>
        <w:rPr>
          <w:rStyle w:val="Strong"/>
          <w:rFonts w:cs="Calibri" w:ascii="Calibri" w:hAnsi="Calibri" w:asciiTheme="minorHAnsi" w:cstheme="minorHAnsi" w:hAnsiTheme="minorHAnsi"/>
          <w:b w:val="false"/>
          <w:color w:val="auto"/>
          <w:sz w:val="22"/>
          <w:szCs w:val="22"/>
        </w:rPr>
        <w:t>Opis Przedmiotu Zamówienia, stanowiący szczegółowe określenie cech, parametrów, wymagań technicznych, funkcjonalnych, jakościowych oraz warunków wykonania Projektu, będący częścią dokumentacji Postępowania.</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Plan testów</w:t>
      </w:r>
      <w:r>
        <w:rPr>
          <w:rStyle w:val="Strong"/>
          <w:rFonts w:cs="Calibri" w:ascii="Calibri" w:hAnsi="Calibri" w:asciiTheme="minorHAnsi" w:cstheme="minorHAnsi" w:hAnsiTheme="minorHAnsi"/>
          <w:b w:val="false"/>
          <w:bCs w:val="false"/>
          <w:color w:val="auto"/>
          <w:sz w:val="22"/>
          <w:szCs w:val="22"/>
        </w:rPr>
        <w:t xml:space="preserve"> - </w:t>
      </w:r>
      <w:r>
        <w:rPr>
          <w:rFonts w:cs="Calibri" w:ascii="Calibri" w:hAnsi="Calibri" w:asciiTheme="minorHAnsi" w:cstheme="minorHAnsi" w:hAnsiTheme="minorHAnsi"/>
          <w:color w:val="auto"/>
          <w:sz w:val="22"/>
          <w:szCs w:val="22"/>
        </w:rPr>
        <w:t>powinien zawierać: propozycję scenariuszy testowych, przypadki testowe, wymagania dotyczące środowiska testowego i stacji roboczych koniecznych do realizacji testów oraz harmonogram testów.</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Protokół Odbioru </w:t>
      </w:r>
      <w:r>
        <w:rPr>
          <w:rStyle w:val="Strong"/>
          <w:rFonts w:cs="Calibri" w:ascii="Calibri" w:hAnsi="Calibri" w:asciiTheme="minorHAnsi" w:cstheme="minorHAnsi" w:hAnsiTheme="minorHAnsi"/>
          <w:b w:val="false"/>
          <w:bCs w:val="false"/>
          <w:color w:val="auto"/>
          <w:sz w:val="22"/>
          <w:szCs w:val="22"/>
        </w:rPr>
        <w:t xml:space="preserve">– dokument potwierdzający dokonanie Odbioru w zakresie poszczególnych elementów lub całości Umowy, sporządzony zgodnie z </w:t>
      </w:r>
      <w:r>
        <w:rPr>
          <w:rStyle w:val="Strong"/>
          <w:rFonts w:cs="Calibri" w:ascii="Calibri" w:hAnsi="Calibri" w:asciiTheme="minorHAnsi" w:cstheme="minorHAnsi" w:hAnsiTheme="minorHAnsi"/>
          <w:b w:val="false"/>
          <w:color w:val="auto"/>
          <w:sz w:val="22"/>
          <w:szCs w:val="22"/>
        </w:rPr>
        <w:t>Załącznikiem nr 6</w:t>
      </w:r>
      <w:r>
        <w:rPr>
          <w:rStyle w:val="Strong"/>
          <w:rFonts w:cs="Calibri" w:ascii="Calibri" w:hAnsi="Calibri" w:asciiTheme="minorHAnsi" w:cstheme="minorHAnsi" w:hAnsiTheme="minorHAnsi"/>
          <w:b w:val="false"/>
          <w:bCs w:val="false"/>
          <w:color w:val="auto"/>
          <w:sz w:val="22"/>
          <w:szCs w:val="22"/>
        </w:rPr>
        <w:t>. Wyróżnia się: Protokół Odbioru Wdrożenia, Protokół Odbioru Przedmiotu Umowy, Protokół Odbioru Jednostronnego oraz Protokół Stanu Zaawansowania Prac.</w:t>
      </w:r>
    </w:p>
    <w:p>
      <w:pPr>
        <w:pStyle w:val="NormalWeb"/>
        <w:numPr>
          <w:ilvl w:val="0"/>
          <w:numId w:val="11"/>
        </w:numPr>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 xml:space="preserve">Roboczogodzina </w:t>
      </w:r>
      <w:r>
        <w:rPr>
          <w:rStyle w:val="Strong"/>
          <w:rFonts w:cs="Calibri" w:ascii="Calibri" w:hAnsi="Calibri" w:asciiTheme="minorHAnsi" w:cstheme="minorHAnsi" w:hAnsiTheme="minorHAnsi"/>
          <w:b w:val="false"/>
          <w:color w:val="auto"/>
          <w:sz w:val="22"/>
          <w:szCs w:val="22"/>
        </w:rPr>
        <w:t>– jedna godzina (60 minut) pracy jednej osoby wykonującej czynności objęte Gwarancją.</w:t>
      </w:r>
    </w:p>
    <w:p>
      <w:pPr>
        <w:pStyle w:val="NormalWeb"/>
        <w:numPr>
          <w:ilvl w:val="0"/>
          <w:numId w:val="11"/>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 w:ascii="Calibri" w:hAnsi="Calibri" w:asciiTheme="minorHAnsi" w:cstheme="minorBidi" w:hAnsiTheme="minorHAnsi"/>
          <w:b/>
          <w:color w:val="auto"/>
          <w:sz w:val="22"/>
          <w:szCs w:val="22"/>
        </w:rPr>
        <w:t>RODO</w:t>
      </w:r>
      <w:r>
        <w:rPr>
          <w:rFonts w:cs="" w:ascii="Calibri" w:hAnsi="Calibri" w:asciiTheme="minorHAnsi" w:cstheme="minorBidi" w:hAnsiTheme="minorHAnsi"/>
          <w:color w:val="auto"/>
          <w:sz w:val="22"/>
          <w:szCs w:val="22"/>
        </w:rPr>
        <w:t xml:space="preserve"> – rozporządzenie Parlamentu Europejskiego i Rady (UE) 2016/679 z dnia 27 kwietnia 2016 r. w sprawie ochrony osób fizycznych w związku z przetwarzaniem danych osobowych i w sprawie swobodnego przepływu takich danych oraz uchylenia dyrektywy 95/46/WE.</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 w:asciiTheme="minorHAnsi" w:cstheme="minorBidi" w:hAnsiTheme="minorHAnsi"/>
          <w:b/>
          <w:color w:val="auto"/>
          <w:sz w:val="22"/>
          <w:szCs w:val="22"/>
        </w:rPr>
      </w:pPr>
      <w:r>
        <w:rPr>
          <w:rFonts w:cs="" w:ascii="Calibri" w:hAnsi="Calibri" w:asciiTheme="minorHAnsi" w:cstheme="minorBidi" w:hAnsiTheme="minorHAnsi"/>
          <w:b/>
          <w:color w:val="auto"/>
          <w:sz w:val="22"/>
          <w:szCs w:val="22"/>
        </w:rPr>
        <w:t xml:space="preserve">SWZ </w:t>
      </w:r>
      <w:r>
        <w:rPr>
          <w:rFonts w:cs="" w:ascii="Calibri" w:hAnsi="Calibri" w:asciiTheme="minorHAnsi" w:cstheme="minorBidi" w:hAnsiTheme="minorHAnsi"/>
          <w:color w:val="auto"/>
          <w:sz w:val="22"/>
          <w:szCs w:val="22"/>
        </w:rPr>
        <w:t>– Specyfikacja Warunków Zamówienia, sporządzona przez Zamawiającego, służąca do określenia lub opisania warunków zamówienia, będąca częścią dokumentacji Postępowania.</w:t>
      </w:r>
    </w:p>
    <w:p>
      <w:pPr>
        <w:pStyle w:val="NormalWeb"/>
        <w:numPr>
          <w:ilvl w:val="0"/>
          <w:numId w:val="11"/>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b/>
          <w:color w:val="auto"/>
          <w:sz w:val="22"/>
          <w:szCs w:val="22"/>
        </w:rPr>
        <w:t xml:space="preserve">Szkolenia </w:t>
      </w:r>
      <w:r>
        <w:rPr>
          <w:rStyle w:val="Strong"/>
          <w:rFonts w:cs="Calibri" w:ascii="Calibri" w:hAnsi="Calibri" w:asciiTheme="minorHAnsi" w:cstheme="minorHAnsi" w:hAnsiTheme="minorHAnsi"/>
          <w:color w:val="auto"/>
          <w:sz w:val="22"/>
          <w:szCs w:val="22"/>
        </w:rPr>
        <w:t xml:space="preserve">– </w:t>
      </w:r>
      <w:r>
        <w:rPr>
          <w:rStyle w:val="Strong"/>
          <w:rFonts w:cs="Calibri" w:ascii="Calibri" w:hAnsi="Calibri" w:asciiTheme="minorHAnsi" w:cstheme="minorHAnsi" w:hAnsiTheme="minorHAnsi"/>
          <w:b w:val="false"/>
          <w:color w:val="auto"/>
          <w:sz w:val="22"/>
          <w:szCs w:val="22"/>
        </w:rPr>
        <w:t xml:space="preserve">zorganizowana forma przekazania przez Wykonawcę wiedzy </w:t>
      </w:r>
      <w:r>
        <w:rPr>
          <w:rFonts w:cs="Calibri" w:ascii="Calibri" w:hAnsi="Calibri" w:asciiTheme="minorHAnsi" w:cstheme="minorHAnsi" w:hAnsiTheme="minorHAnsi"/>
          <w:color w:val="auto"/>
          <w:sz w:val="22"/>
          <w:szCs w:val="22"/>
        </w:rPr>
        <w:t>administratorom i użytkownikom Oprogramowania Aplikacyjnego</w:t>
      </w:r>
      <w:r>
        <w:rPr>
          <w:rStyle w:val="Strong"/>
          <w:rFonts w:cs="Calibri" w:ascii="Calibri" w:hAnsi="Calibri" w:asciiTheme="minorHAnsi" w:cstheme="minorHAnsi" w:hAnsiTheme="minorHAnsi"/>
          <w:b w:val="false"/>
          <w:color w:val="auto"/>
          <w:sz w:val="22"/>
          <w:szCs w:val="22"/>
        </w:rPr>
        <w:t xml:space="preserve"> w zakresie administrowania i</w:t>
      </w:r>
      <w:r>
        <w:rPr>
          <w:rStyle w:val="Strong"/>
          <w:rFonts w:cs="Calibri" w:ascii="Calibri" w:hAnsi="Calibri" w:asciiTheme="minorHAnsi" w:cstheme="minorHAnsi" w:hAnsiTheme="minorHAnsi"/>
          <w:color w:val="auto"/>
          <w:sz w:val="22"/>
          <w:szCs w:val="22"/>
        </w:rPr>
        <w:t xml:space="preserve"> </w:t>
      </w:r>
      <w:r>
        <w:rPr>
          <w:rStyle w:val="Strong"/>
          <w:rFonts w:cs="Calibri" w:ascii="Calibri" w:hAnsi="Calibri" w:asciiTheme="minorHAnsi" w:cstheme="minorHAnsi" w:hAnsiTheme="minorHAnsi"/>
          <w:b w:val="false"/>
          <w:color w:val="auto"/>
          <w:sz w:val="22"/>
          <w:szCs w:val="22"/>
        </w:rPr>
        <w:t>użytkowania Oprogramowania Aplikacyjnego</w:t>
      </w:r>
      <w:r>
        <w:rPr>
          <w:rFonts w:cs="Calibri" w:ascii="Calibri" w:hAnsi="Calibri" w:asciiTheme="minorHAnsi" w:cstheme="minorHAnsi" w:hAnsiTheme="minorHAnsi"/>
          <w:color w:val="auto"/>
          <w:sz w:val="22"/>
          <w:szCs w:val="22"/>
        </w:rPr>
        <w:t>, realizowana w ramach Wdrożenia, obejmująca prowadzenie zajęć w formie stacjonarnej lub online</w:t>
      </w:r>
      <w:r>
        <w:rPr>
          <w:rFonts w:cs="" w:ascii="Calibri" w:hAnsi="Calibri" w:asciiTheme="minorHAnsi" w:cstheme="minorBidi" w:hAnsiTheme="minorHAnsi"/>
          <w:color w:val="auto"/>
          <w:sz w:val="22"/>
          <w:szCs w:val="22"/>
        </w:rPr>
        <w:t xml:space="preserve"> (np. za pośrednictwem aplikacji Teams, Meeting lub innej podobnej),</w:t>
      </w:r>
      <w:r>
        <w:rPr>
          <w:rFonts w:cs="Calibri" w:ascii="Calibri" w:hAnsi="Calibri" w:asciiTheme="minorHAnsi" w:cstheme="minorHAnsi" w:hAnsiTheme="minorHAnsi"/>
          <w:color w:val="auto"/>
          <w:sz w:val="22"/>
          <w:szCs w:val="22"/>
        </w:rPr>
        <w:t xml:space="preserve"> </w:t>
      </w:r>
      <w:r>
        <w:rPr>
          <w:rFonts w:cs="" w:ascii="Calibri" w:hAnsi="Calibri" w:asciiTheme="minorHAnsi" w:cstheme="minorBidi" w:hAnsiTheme="minorHAnsi"/>
          <w:color w:val="auto"/>
          <w:sz w:val="22"/>
          <w:szCs w:val="22"/>
        </w:rPr>
        <w:t>w wymiarze 1 godzina Szkolenia = 45 minut zegarowych, zgodnie</w:t>
      </w:r>
      <w:r>
        <w:rPr>
          <w:rFonts w:cs="Calibri" w:ascii="Calibri" w:hAnsi="Calibri" w:asciiTheme="minorHAnsi" w:cstheme="minorHAnsi" w:hAnsiTheme="minorHAnsi"/>
          <w:color w:val="auto"/>
          <w:sz w:val="22"/>
          <w:szCs w:val="22"/>
        </w:rPr>
        <w:t xml:space="preserve"> z zakresem opisanym w </w:t>
      </w:r>
      <w:r>
        <w:rPr>
          <w:rFonts w:cs="Calibri" w:ascii="Calibri" w:hAnsi="Calibri" w:asciiTheme="minorHAnsi" w:cstheme="minorHAnsi" w:hAnsiTheme="minorHAnsi"/>
          <w:color w:val="auto"/>
          <w:sz w:val="22"/>
          <w:szCs w:val="22"/>
          <w:shd w:fill="FFFFFF" w:val="clear"/>
        </w:rPr>
        <w:t>Umowie.</w:t>
      </w:r>
    </w:p>
    <w:p>
      <w:pPr>
        <w:pStyle w:val="NormalWeb"/>
        <w:numPr>
          <w:ilvl w:val="0"/>
          <w:numId w:val="11"/>
        </w:numPr>
        <w:shd w:val="clear" w:color="auto" w:fill="FFFFFF"/>
        <w:spacing w:lineRule="auto" w:line="276" w:beforeAutospacing="0" w:before="0" w:afterAutospacing="0" w:after="0"/>
        <w:jc w:val="both"/>
        <w:rPr/>
      </w:pPr>
      <w:r>
        <w:rPr>
          <w:rFonts w:cs="Calibri" w:ascii="Calibri" w:hAnsi="Calibri" w:asciiTheme="minorHAnsi" w:cstheme="minorHAnsi" w:hAnsiTheme="minorHAnsi"/>
          <w:b/>
          <w:bCs/>
          <w:color w:val="auto"/>
          <w:sz w:val="22"/>
          <w:szCs w:val="22"/>
          <w:shd w:fill="FFFFFF" w:val="clear"/>
        </w:rPr>
        <w:t>System Informatyczny –</w:t>
      </w:r>
      <w:r>
        <w:rPr>
          <w:rStyle w:val="Strong"/>
          <w:rFonts w:cs="Calibri" w:ascii="Calibri" w:hAnsi="Calibri" w:asciiTheme="minorHAnsi" w:cstheme="minorHAnsi" w:hAnsiTheme="minorHAnsi"/>
          <w:bCs w:val="false"/>
          <w:color w:val="auto"/>
          <w:sz w:val="22"/>
          <w:szCs w:val="22"/>
          <w:shd w:fill="FFFFFF" w:val="clear"/>
        </w:rPr>
        <w:t xml:space="preserve"> </w:t>
      </w:r>
      <w:r>
        <w:rPr>
          <w:rStyle w:val="Strong"/>
          <w:rFonts w:cs="Calibri" w:ascii="Calibri" w:hAnsi="Calibri" w:asciiTheme="minorHAnsi" w:cstheme="minorHAnsi" w:hAnsiTheme="minorHAnsi"/>
          <w:b w:val="false"/>
          <w:color w:val="auto"/>
          <w:sz w:val="22"/>
          <w:szCs w:val="22"/>
          <w:shd w:fill="FFFFFF" w:val="clear"/>
        </w:rPr>
        <w:t>M</w:t>
      </w:r>
      <w:r>
        <w:rPr>
          <w:rFonts w:cs="Calibri" w:ascii="Calibri" w:hAnsi="Calibri" w:asciiTheme="minorHAnsi" w:cstheme="minorHAnsi" w:hAnsiTheme="minorHAnsi"/>
          <w:color w:val="auto"/>
          <w:sz w:val="22"/>
          <w:szCs w:val="22"/>
          <w:shd w:fill="FFFFFF" w:val="clear"/>
        </w:rPr>
        <w:t>oduły Oprogramowania Aplikacyjnego, wraz z platformami integracyjnymi, bazami danych (z wyłączeniem serwerów baz danych wraz z jego oprogramowaniem bazodanowym) oraz serwerami aplikacji i serwerami www, z którymi współpracuje Oprogramowanie Aplikacyjne.</w:t>
      </w:r>
    </w:p>
    <w:p>
      <w:pPr>
        <w:pStyle w:val="NormalWeb"/>
        <w:numPr>
          <w:ilvl w:val="0"/>
          <w:numId w:val="11"/>
        </w:numPr>
        <w:shd w:val="clear" w:color="auto" w:fill="FFFFFF" w:themeFill="background1"/>
        <w:spacing w:lineRule="auto" w:line="276" w:beforeAutospacing="0" w:before="0" w:afterAutospacing="0" w:after="0"/>
        <w:jc w:val="both"/>
        <w:rPr/>
      </w:pPr>
      <w:r>
        <w:rPr>
          <w:rStyle w:val="Strong"/>
          <w:rFonts w:cs="Times New Roman" w:ascii="Calibri" w:hAnsi="Calibri" w:asciiTheme="minorHAnsi" w:hAnsiTheme="minorHAnsi"/>
          <w:b/>
          <w:bCs/>
          <w:i/>
          <w:iCs/>
          <w:color w:val="000000"/>
          <w:sz w:val="22"/>
          <w:szCs w:val="22"/>
          <w:shd w:fill="FFFFFF" w:val="clear"/>
        </w:rPr>
        <w:t>Gwarancja -</w:t>
      </w:r>
      <w:r>
        <w:rPr>
          <w:rStyle w:val="Strong"/>
          <w:rFonts w:cs="Times New Roman" w:ascii="Calibri" w:hAnsi="Calibri" w:asciiTheme="minorHAnsi" w:hAnsiTheme="minorHAnsi"/>
          <w:b w:val="false"/>
          <w:i/>
          <w:iCs/>
          <w:color w:val="000000"/>
          <w:sz w:val="22"/>
          <w:szCs w:val="22"/>
          <w:shd w:fill="FFFFFF" w:val="clear"/>
        </w:rPr>
        <w:t xml:space="preserve"> gwarancja jakości, obejmująca realizację przez Wykonawcę świadczeń opisanych w Załączniku nr 3 obejmujących nadzór autorski i serwis nowych modułów  Oprogramowania Aplikacyjnego  mających na celu zapewnienie poprawnego działania Oprogramowania Aplikacyjnego</w:t>
      </w:r>
    </w:p>
    <w:p>
      <w:pPr>
        <w:pStyle w:val="NormalWeb"/>
        <w:numPr>
          <w:ilvl w:val="0"/>
          <w:numId w:val="11"/>
        </w:numPr>
        <w:shd w:val="clear" w:color="auto" w:fill="FFFFFF" w:themeFill="background1"/>
        <w:spacing w:lineRule="auto" w:line="276" w:beforeAutospacing="0" w:before="0" w:afterAutospacing="0" w:after="0"/>
        <w:jc w:val="both"/>
        <w:rPr/>
      </w:pPr>
      <w:r>
        <w:rPr>
          <w:rStyle w:val="Strong"/>
          <w:rFonts w:cs="" w:ascii="Calibri" w:hAnsi="Calibri" w:asciiTheme="minorHAnsi" w:cstheme="minorBidi" w:hAnsiTheme="minorHAnsi"/>
          <w:color w:val="auto"/>
          <w:sz w:val="22"/>
          <w:szCs w:val="22"/>
          <w:shd w:fill="FFFFFF" w:val="clear"/>
        </w:rPr>
        <w:t>Wdrożenie</w:t>
      </w:r>
      <w:r>
        <w:rPr>
          <w:rStyle w:val="Strong"/>
          <w:rFonts w:cs="" w:ascii="Calibri" w:hAnsi="Calibri" w:asciiTheme="minorHAnsi" w:cstheme="minorBidi" w:hAnsiTheme="minorHAnsi"/>
          <w:b w:val="false"/>
          <w:color w:val="auto"/>
          <w:sz w:val="22"/>
          <w:szCs w:val="22"/>
          <w:shd w:fill="FFFFFF" w:val="clear"/>
        </w:rPr>
        <w:t xml:space="preserve"> – świadczenia Wykonawcy opisane w Umowie, mające na celu zainstalowanie Oprogramowania Aplikacyjnego</w:t>
      </w:r>
      <w:r>
        <w:rPr>
          <w:rFonts w:cs="" w:ascii="Calibri" w:hAnsi="Calibri" w:asciiTheme="minorHAnsi" w:cstheme="minorBidi" w:hAnsiTheme="minorHAnsi"/>
          <w:color w:val="auto"/>
          <w:sz w:val="22"/>
          <w:szCs w:val="22"/>
          <w:shd w:fill="FFFFFF" w:val="clear"/>
        </w:rPr>
        <w:t xml:space="preserve"> na Infrastrukturze Zamawiającego w pomieszczeniach Zamawiającego lub w sposób zdalny, obejmujące przeprowadzenie Szkoleń, realizowane zgodnie z Harmonogramem.</w:t>
      </w:r>
    </w:p>
    <w:p>
      <w:pPr>
        <w:pStyle w:val="NormalWeb"/>
        <w:shd w:val="clear" w:color="auto" w:fill="FFFFFF"/>
        <w:spacing w:lineRule="auto" w:line="276" w:beforeAutospacing="0" w:before="0" w:afterAutospacing="0" w:after="0"/>
        <w:jc w:val="both"/>
        <w:rPr>
          <w:rFonts w:ascii="Calibri" w:hAnsi="Calibri" w:cs="Calibri" w:asciiTheme="minorHAnsi" w:cstheme="minorHAnsi" w:hAnsiTheme="minorHAnsi"/>
          <w:bCs w:val="false"/>
          <w:color w:val="auto"/>
          <w:sz w:val="22"/>
          <w:szCs w:val="22"/>
          <w:highlight w:val="none"/>
          <w:shd w:fill="FFFFFF" w:val="clear"/>
        </w:rPr>
      </w:pPr>
      <w:r>
        <w:rPr>
          <w:rFonts w:cs="Calibri" w:cstheme="minorHAnsi" w:ascii="Calibri" w:hAnsi="Calibri"/>
          <w:bCs w:val="false"/>
          <w:color w:val="auto"/>
          <w:sz w:val="22"/>
          <w:szCs w:val="22"/>
          <w:shd w:fill="FFFFFF" w:val="clear"/>
        </w:rPr>
      </w:r>
    </w:p>
    <w:p>
      <w:pPr>
        <w:pStyle w:val="NormalWeb"/>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Fonts w:cs="Calibri" w:cstheme="minorHAnsi" w:ascii="Calibri" w:hAnsi="Calibri"/>
          <w:bCs w:val="false"/>
          <w:color w:val="auto"/>
          <w:sz w:val="22"/>
          <w:szCs w:val="22"/>
        </w:rPr>
      </w:r>
    </w:p>
    <w:p>
      <w:pPr>
        <w:pStyle w:val="NormalWeb"/>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Fonts w:cs="Calibri" w:cstheme="minorHAnsi" w:ascii="Calibri" w:hAnsi="Calibri"/>
          <w:bCs w:val="false"/>
          <w:color w:val="auto"/>
          <w:sz w:val="22"/>
          <w:szCs w:val="22"/>
        </w:rPr>
      </w:r>
    </w:p>
    <w:p>
      <w:pPr>
        <w:pStyle w:val="NormalWeb"/>
        <w:shd w:val="clear" w:color="auto" w:fill="FFFFFF"/>
        <w:spacing w:lineRule="auto" w:line="276" w:beforeAutospacing="0" w:before="0" w:afterAutospacing="0" w:after="0"/>
        <w:jc w:val="both"/>
        <w:rPr>
          <w:rStyle w:val="Strong"/>
          <w:rFonts w:ascii="Calibri" w:hAnsi="Calibri" w:cs="Calibri" w:asciiTheme="minorHAnsi" w:cstheme="minorHAnsi" w:hAnsiTheme="minorHAnsi"/>
          <w:bCs w:val="false"/>
          <w:color w:val="auto"/>
          <w:sz w:val="22"/>
          <w:szCs w:val="22"/>
        </w:rPr>
      </w:pPr>
      <w:r>
        <w:rPr>
          <w:rFonts w:cs="Calibri" w:cstheme="minorHAnsi" w:ascii="Calibri" w:hAnsi="Calibri"/>
          <w:bCs w:val="false"/>
          <w:color w:val="auto"/>
          <w:sz w:val="22"/>
          <w:szCs w:val="22"/>
        </w:rPr>
      </w:r>
    </w:p>
    <w:p>
      <w:pPr>
        <w:pStyle w:val="NormalWeb"/>
        <w:shd w:val="clear" w:color="auto" w:fill="FFFFFF"/>
        <w:spacing w:lineRule="auto" w:line="276" w:beforeAutospacing="0" w:before="0" w:afterAutospacing="0" w:after="0"/>
        <w:jc w:val="center"/>
        <w:rPr>
          <w:rStyle w:val="Strong"/>
          <w:rFonts w:ascii="Calibri" w:hAnsi="Calibri" w:cs="Calibri" w:asciiTheme="minorHAnsi" w:cstheme="minorHAnsi" w:hAnsiTheme="minorHAnsi"/>
          <w:b w:val="false"/>
          <w:bCs w:val="false"/>
          <w:i/>
          <w:color w:val="auto"/>
          <w:sz w:val="22"/>
          <w:szCs w:val="22"/>
        </w:rPr>
      </w:pPr>
      <w:r>
        <w:rPr>
          <w:rStyle w:val="Strong"/>
          <w:rFonts w:cs="Calibri" w:ascii="Calibri" w:hAnsi="Calibri" w:asciiTheme="minorHAnsi" w:cstheme="minorHAnsi" w:hAnsiTheme="minorHAnsi"/>
          <w:color w:val="auto"/>
          <w:sz w:val="22"/>
          <w:szCs w:val="22"/>
        </w:rPr>
        <w:t>§ 2</w:t>
      </w:r>
    </w:p>
    <w:p>
      <w:pPr>
        <w:pStyle w:val="NormalWeb"/>
        <w:shd w:val="clear" w:color="auto" w:fill="FFFFFF"/>
        <w:spacing w:lineRule="auto" w:line="276" w:beforeAutospacing="0" w:before="0" w:afterAutospacing="0" w:after="0"/>
        <w:jc w:val="center"/>
        <w:rPr>
          <w:rStyle w:val="Strong"/>
          <w:rFonts w:ascii="Calibri" w:hAnsi="Calibri" w:cs="Calibri" w:asciiTheme="minorHAnsi" w:cstheme="minorHAnsi" w:hAnsiTheme="minorHAnsi"/>
          <w:bCs w:val="false"/>
          <w:color w:val="auto"/>
          <w:sz w:val="22"/>
          <w:szCs w:val="22"/>
        </w:rPr>
      </w:pPr>
      <w:r>
        <w:rPr>
          <w:rStyle w:val="Strong"/>
          <w:rFonts w:cs="Calibri" w:ascii="Calibri" w:hAnsi="Calibri" w:asciiTheme="minorHAnsi" w:cstheme="minorHAnsi" w:hAnsiTheme="minorHAnsi"/>
          <w:bCs w:val="false"/>
          <w:color w:val="auto"/>
          <w:sz w:val="22"/>
          <w:szCs w:val="22"/>
        </w:rPr>
        <w:t>PRZEDMIOT</w:t>
      </w:r>
      <w:r>
        <w:rPr>
          <w:rStyle w:val="Strong"/>
          <w:rFonts w:cs="Calibri" w:ascii="Calibri" w:hAnsi="Calibri" w:asciiTheme="minorHAnsi" w:cstheme="minorHAnsi" w:hAnsiTheme="minorHAnsi"/>
          <w:b w:val="false"/>
          <w:bCs w:val="false"/>
          <w:color w:val="auto"/>
          <w:sz w:val="22"/>
          <w:szCs w:val="22"/>
        </w:rPr>
        <w:t xml:space="preserve"> </w:t>
      </w:r>
      <w:r>
        <w:rPr>
          <w:rStyle w:val="Strong"/>
          <w:rFonts w:cs="Calibri" w:ascii="Calibri" w:hAnsi="Calibri" w:asciiTheme="minorHAnsi" w:cstheme="minorHAnsi" w:hAnsiTheme="minorHAnsi"/>
          <w:bCs w:val="false"/>
          <w:color w:val="auto"/>
          <w:sz w:val="22"/>
          <w:szCs w:val="22"/>
        </w:rPr>
        <w:t>UMOWY</w:t>
      </w:r>
    </w:p>
    <w:p>
      <w:pPr>
        <w:pStyle w:val="NormalWeb"/>
        <w:numPr>
          <w:ilvl w:val="0"/>
          <w:numId w:val="7"/>
        </w:numPr>
        <w:shd w:val="clear" w:color="auto" w:fill="FFFFFF" w:themeFill="background1"/>
        <w:spacing w:lineRule="auto" w:line="276" w:beforeAutospacing="0" w:before="0" w:afterAutospacing="0" w:after="0"/>
        <w:ind w:hanging="360" w:left="360"/>
        <w:jc w:val="both"/>
        <w:rPr>
          <w:rFonts w:ascii="Calibri" w:hAnsi="Calibri" w:cs="" w:asciiTheme="minorHAnsi" w:cstheme="minorBidi" w:hAnsiTheme="minorHAnsi"/>
          <w:color w:val="auto"/>
          <w:sz w:val="22"/>
          <w:szCs w:val="22"/>
        </w:rPr>
      </w:pPr>
      <w:r>
        <w:rPr>
          <w:rStyle w:val="Strong"/>
          <w:rFonts w:cs="" w:ascii="Calibri" w:hAnsi="Calibri" w:asciiTheme="minorHAnsi" w:cstheme="minorBidi" w:hAnsiTheme="minorHAnsi"/>
          <w:b w:val="false"/>
          <w:color w:val="auto"/>
          <w:sz w:val="22"/>
          <w:szCs w:val="22"/>
        </w:rPr>
        <w:t>Przedmiotem</w:t>
      </w:r>
      <w:r>
        <w:rPr>
          <w:rFonts w:cs="" w:ascii="Calibri" w:hAnsi="Calibri" w:asciiTheme="minorHAnsi" w:cstheme="minorBidi" w:hAnsiTheme="minorHAnsi"/>
          <w:b/>
          <w:color w:val="auto"/>
          <w:sz w:val="22"/>
          <w:szCs w:val="22"/>
        </w:rPr>
        <w:t xml:space="preserve"> </w:t>
      </w:r>
      <w:r>
        <w:rPr>
          <w:rFonts w:cs="" w:ascii="Calibri" w:hAnsi="Calibri" w:asciiTheme="minorHAnsi" w:cstheme="minorBidi" w:hAnsiTheme="minorHAnsi"/>
          <w:color w:val="auto"/>
          <w:sz w:val="22"/>
          <w:szCs w:val="22"/>
        </w:rPr>
        <w:t xml:space="preserve">Umowy jest dostawa wraz z wdrożeniem Oprogramowania Aplikacyjnego, obejmująca: </w:t>
      </w:r>
    </w:p>
    <w:p>
      <w:pPr>
        <w:pStyle w:val="NormalWeb"/>
        <w:numPr>
          <w:ilvl w:val="0"/>
          <w:numId w:val="24"/>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wykonanie Wdrożenia Oprogramowania Aplikacyjnego;</w:t>
      </w:r>
    </w:p>
    <w:p>
      <w:pPr>
        <w:pStyle w:val="NormalWeb"/>
        <w:numPr>
          <w:ilvl w:val="0"/>
          <w:numId w:val="24"/>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udzielenie Licencji na Oprogramowanie Aplikacyjne.</w:t>
      </w:r>
    </w:p>
    <w:p>
      <w:pPr>
        <w:pStyle w:val="NormalWeb"/>
        <w:numPr>
          <w:ilvl w:val="0"/>
          <w:numId w:val="53"/>
        </w:numPr>
        <w:shd w:val="clear" w:color="auto" w:fill="FFFFFF" w:themeFill="background1"/>
        <w:spacing w:lineRule="auto" w:line="276" w:beforeAutospacing="0" w:before="0" w:afterAutospacing="0" w:after="0"/>
        <w:jc w:val="both"/>
        <w:rPr>
          <w:rFonts w:ascii="Calibri" w:hAnsi="Calibri" w:cs="" w:asciiTheme="minorHAnsi" w:cstheme="minorBidi" w:hAnsiTheme="minorHAnsi"/>
          <w:color w:val="auto"/>
          <w:sz w:val="22"/>
          <w:szCs w:val="22"/>
        </w:rPr>
      </w:pPr>
      <w:r>
        <w:rPr>
          <w:rFonts w:cs="" w:ascii="Calibri" w:hAnsi="Calibri" w:asciiTheme="minorHAnsi" w:cstheme="minorBidi" w:hAnsiTheme="minorHAnsi"/>
          <w:color w:val="auto"/>
          <w:sz w:val="22"/>
          <w:szCs w:val="22"/>
        </w:rPr>
        <w:t xml:space="preserve">W ramach wynagrodzenia określonego w §10 ust. 1 Umowy Wykonawca udziela Zamawiającemu </w:t>
      </w:r>
      <w:r>
        <w:rPr>
          <w:rFonts w:cs="" w:ascii="Calibri" w:hAnsi="Calibri" w:asciiTheme="minorHAnsi" w:cstheme="minorBidi" w:hAnsiTheme="minorHAnsi"/>
          <w:b/>
          <w:bCs/>
          <w:color w:val="auto"/>
          <w:sz w:val="22"/>
          <w:szCs w:val="22"/>
        </w:rPr>
        <w:t>36 – miesięcznej Gwarancji</w:t>
      </w:r>
      <w:r>
        <w:rPr>
          <w:rFonts w:cs="" w:ascii="Calibri" w:hAnsi="Calibri" w:asciiTheme="minorHAnsi" w:cstheme="minorBidi" w:hAnsiTheme="minorHAnsi"/>
          <w:color w:val="auto"/>
          <w:sz w:val="22"/>
          <w:szCs w:val="22"/>
        </w:rPr>
        <w:t>, liczonej od dnia Odbioru Końcowego Wdrożenia.</w:t>
      </w:r>
    </w:p>
    <w:p>
      <w:pPr>
        <w:pStyle w:val="NormalWeb"/>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3</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TERMINY WYKONANIA PRZEDMIOTU UMOWY</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Przedmiot Umowy zostanie zrealizowany</w:t>
      </w:r>
      <w:r>
        <w:rPr>
          <w:rFonts w:cs="Calibri" w:ascii="Calibri" w:hAnsi="Calibri" w:asciiTheme="minorHAnsi" w:cstheme="minorHAnsi" w:hAnsiTheme="minorHAnsi"/>
          <w:bCs/>
          <w:color w:val="auto"/>
          <w:sz w:val="22"/>
          <w:szCs w:val="22"/>
          <w:shd w:fill="FFFF00" w:val="clear"/>
        </w:rPr>
        <w:t xml:space="preserve"> </w:t>
      </w:r>
      <w:r>
        <w:rPr>
          <w:rFonts w:cs="Calibri" w:ascii="Calibri" w:hAnsi="Calibri" w:asciiTheme="minorHAnsi" w:cstheme="minorHAnsi" w:hAnsiTheme="minorHAnsi"/>
          <w:b/>
          <w:bCs/>
          <w:color w:val="auto"/>
          <w:sz w:val="22"/>
          <w:szCs w:val="22"/>
          <w:shd w:fill="FFFF00" w:val="clear"/>
        </w:rPr>
        <w:t>do 30 dni od podpisania umowy, jednak nie później niż do dnia 29.05.2026 r.</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Przedmiot Umowy będzie realizowany zgodnie z Harmonogramem, który Wykonawca przygotuje w ramach Analizy Przedwdrożeniowej. Harmonogram podlega akceptacji Zamawiającego.</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Analiza Przedwdrożeniowa zostanie opracowania w terminie 30 dni od dnia wykonania przez Zamawiającego czynności określonych w ust. 4. </w:t>
      </w:r>
    </w:p>
    <w:p>
      <w:pPr>
        <w:pStyle w:val="NormalWeb"/>
        <w:numPr>
          <w:ilvl w:val="0"/>
          <w:numId w:val="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Zamawiający w terminie </w:t>
      </w:r>
      <w:r>
        <w:rPr>
          <w:rFonts w:cs="Calibri" w:ascii="Calibri" w:hAnsi="Calibri" w:asciiTheme="minorHAnsi" w:cstheme="minorHAnsi" w:hAnsiTheme="minorHAnsi"/>
          <w:bCs/>
          <w:color w:val="auto"/>
          <w:sz w:val="22"/>
          <w:szCs w:val="22"/>
        </w:rPr>
        <w:t>10 Dni roboczych</w:t>
      </w:r>
      <w:r>
        <w:rPr>
          <w:rFonts w:cs="Calibri" w:ascii="Calibri" w:hAnsi="Calibri" w:asciiTheme="minorHAnsi" w:cstheme="minorHAnsi" w:hAnsiTheme="minorHAnsi"/>
          <w:color w:val="auto"/>
          <w:sz w:val="22"/>
          <w:szCs w:val="22"/>
        </w:rPr>
        <w:t xml:space="preserve"> od dnia zawarcia Umowy : </w:t>
      </w:r>
    </w:p>
    <w:p>
      <w:pPr>
        <w:pStyle w:val="NormalWeb"/>
        <w:numPr>
          <w:ilvl w:val="0"/>
          <w:numId w:val="23"/>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przekaże Wykonawcy informacje i dane, w szczególności dotyczące Infrastruktury Zamawiającego, Systemu Informatycznego oraz Oprogramowania Systemowego, konieczne dla prawidłowego zrealizowania Umowy;</w:t>
      </w:r>
    </w:p>
    <w:p>
      <w:pPr>
        <w:pStyle w:val="NormalWeb"/>
        <w:numPr>
          <w:ilvl w:val="0"/>
          <w:numId w:val="23"/>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udostępni Wykonawcy na czas realizacji Wdrożenia serwer (-y) i Infrastrukturę, na której ma zostać zainstalowane Oprogramowanie Aplikacyjne.</w:t>
      </w:r>
    </w:p>
    <w:p>
      <w:pPr>
        <w:pStyle w:val="NormalWeb"/>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4</w:t>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SZKOLENIA</w:t>
      </w:r>
    </w:p>
    <w:p>
      <w:pPr>
        <w:pStyle w:val="ListParagraph"/>
        <w:numPr>
          <w:ilvl w:val="0"/>
          <w:numId w:val="45"/>
        </w:numPr>
        <w:spacing w:before="0" w:after="0"/>
        <w:contextualSpacing/>
        <w:jc w:val="both"/>
        <w:rPr>
          <w:rFonts w:cs="Calibri" w:cstheme="minorHAnsi"/>
          <w:color w:val="auto"/>
        </w:rPr>
      </w:pPr>
      <w:r>
        <w:rPr>
          <w:rFonts w:cs="" w:cstheme="minorBidi"/>
          <w:color w:val="auto"/>
        </w:rPr>
        <w:t>Wykonawca przeprowadzi Szkolenia dla wskazanych przez Zamawiającego:</w:t>
      </w:r>
    </w:p>
    <w:p>
      <w:pPr>
        <w:pStyle w:val="ListParagraph"/>
        <w:numPr>
          <w:ilvl w:val="0"/>
          <w:numId w:val="54"/>
        </w:numPr>
        <w:spacing w:before="0" w:after="0"/>
        <w:contextualSpacing/>
        <w:jc w:val="both"/>
        <w:rPr>
          <w:rFonts w:cs="Calibri" w:cstheme="minorHAnsi"/>
          <w:color w:val="auto"/>
        </w:rPr>
      </w:pPr>
      <w:r>
        <w:rPr>
          <w:rFonts w:cs="" w:cstheme="minorBidi"/>
          <w:color w:val="auto"/>
        </w:rPr>
        <w:t>trzech administratorów – w zakresie niezbędnym do administrowania Oprogramowaniem Aplikacyjnym,</w:t>
      </w:r>
    </w:p>
    <w:p>
      <w:pPr>
        <w:pStyle w:val="ListParagraph"/>
        <w:numPr>
          <w:ilvl w:val="0"/>
          <w:numId w:val="54"/>
        </w:numPr>
        <w:spacing w:before="0" w:after="0"/>
        <w:contextualSpacing/>
        <w:jc w:val="both"/>
        <w:rPr>
          <w:rFonts w:cs="Calibri" w:cstheme="minorHAnsi"/>
          <w:color w:val="auto"/>
        </w:rPr>
      </w:pPr>
      <w:r>
        <w:rPr>
          <w:rFonts w:cs="Calibri" w:cstheme="minorHAnsi"/>
          <w:color w:val="auto"/>
        </w:rPr>
        <w:t>użytkowników – w zakresie użytkowania Oprogramowania Aplikacyjnego.</w:t>
      </w:r>
    </w:p>
    <w:p>
      <w:pPr>
        <w:pStyle w:val="ListParagraph"/>
        <w:numPr>
          <w:ilvl w:val="0"/>
          <w:numId w:val="45"/>
        </w:numPr>
        <w:spacing w:before="0" w:after="0"/>
        <w:contextualSpacing/>
        <w:jc w:val="both"/>
        <w:rPr>
          <w:rFonts w:cs="" w:cstheme="minorBidi"/>
          <w:color w:val="auto"/>
        </w:rPr>
      </w:pPr>
      <w:r>
        <w:rPr>
          <w:rFonts w:cs="" w:cstheme="minorBidi"/>
          <w:color w:val="auto"/>
        </w:rPr>
        <w:t>Zamawiający przekaże Wykonawcy listę uczestników Szkoleń na co najmniej jeden dzień przed terminem Szkolenia.</w:t>
      </w:r>
    </w:p>
    <w:p>
      <w:pPr>
        <w:pStyle w:val="ListParagraph"/>
        <w:numPr>
          <w:ilvl w:val="0"/>
          <w:numId w:val="45"/>
        </w:numPr>
        <w:spacing w:before="0" w:after="0"/>
        <w:contextualSpacing/>
        <w:jc w:val="both"/>
        <w:rPr>
          <w:rFonts w:cs="" w:cstheme="minorBidi"/>
          <w:color w:val="auto"/>
        </w:rPr>
      </w:pPr>
      <w:r>
        <w:rPr>
          <w:rFonts w:cs="Calibri" w:cstheme="minorHAnsi"/>
          <w:color w:val="auto"/>
        </w:rPr>
        <w:t xml:space="preserve">Szkolenia będą przeprowadzane w </w:t>
      </w:r>
      <w:r>
        <w:rPr>
          <w:rFonts w:cs="" w:cstheme="minorBidi"/>
          <w:color w:val="auto"/>
        </w:rPr>
        <w:t xml:space="preserve">języku polskim, </w:t>
      </w:r>
      <w:r>
        <w:rPr>
          <w:rFonts w:cs="Calibri" w:cstheme="minorHAnsi"/>
          <w:color w:val="auto"/>
        </w:rPr>
        <w:t>w siedzibie Zamawiającego</w:t>
      </w:r>
      <w:r>
        <w:rPr>
          <w:rFonts w:cs="" w:cstheme="minorBidi"/>
          <w:color w:val="auto"/>
        </w:rPr>
        <w:t xml:space="preserve"> lub w trybie</w:t>
      </w:r>
      <w:r>
        <w:rPr>
          <w:rFonts w:cs="Calibri" w:cstheme="minorHAnsi"/>
          <w:color w:val="auto"/>
        </w:rPr>
        <w:t xml:space="preserve"> online.</w:t>
      </w:r>
    </w:p>
    <w:p>
      <w:pPr>
        <w:pStyle w:val="ListParagraph"/>
        <w:numPr>
          <w:ilvl w:val="0"/>
          <w:numId w:val="45"/>
        </w:numPr>
        <w:spacing w:before="0" w:after="0"/>
        <w:contextualSpacing/>
        <w:jc w:val="both"/>
        <w:rPr>
          <w:rFonts w:cs="" w:cstheme="minorBidi"/>
          <w:color w:val="auto"/>
        </w:rPr>
      </w:pPr>
      <w:r>
        <w:rPr>
          <w:rFonts w:cs="" w:cstheme="minorBidi"/>
          <w:color w:val="auto"/>
        </w:rPr>
        <w:t>W przypadku, gdy Szkolenia będą przeprowadzanie w siedzibie Zamawiającego:</w:t>
      </w:r>
    </w:p>
    <w:p>
      <w:pPr>
        <w:pStyle w:val="ListParagraph"/>
        <w:numPr>
          <w:ilvl w:val="0"/>
          <w:numId w:val="48"/>
        </w:numPr>
        <w:spacing w:before="0" w:after="0"/>
        <w:contextualSpacing/>
        <w:jc w:val="both"/>
        <w:rPr>
          <w:rFonts w:cs="" w:cstheme="minorBidi"/>
          <w:color w:val="auto"/>
        </w:rPr>
      </w:pPr>
      <w:r>
        <w:rPr>
          <w:rFonts w:cs="" w:cstheme="minorBidi"/>
          <w:color w:val="auto"/>
        </w:rPr>
        <w:t>Zamawiający udostępni Wykonawcy salę szkoleniową wraz z wyposażeniem i podłączeniem do sieci informatycznej,</w:t>
      </w:r>
    </w:p>
    <w:p>
      <w:pPr>
        <w:pStyle w:val="ListParagraph"/>
        <w:numPr>
          <w:ilvl w:val="0"/>
          <w:numId w:val="48"/>
        </w:numPr>
        <w:spacing w:before="0" w:after="0"/>
        <w:contextualSpacing/>
        <w:jc w:val="both"/>
        <w:rPr>
          <w:rFonts w:cs="" w:cstheme="minorBidi"/>
          <w:color w:val="auto"/>
        </w:rPr>
      </w:pPr>
      <w:r>
        <w:rPr>
          <w:rFonts w:cs="" w:cstheme="minorBidi"/>
          <w:color w:val="auto"/>
        </w:rPr>
        <w:t>Szkolenia będą przeprowadzone w grupach liczących nie więcej niż 20 osób.</w:t>
      </w:r>
    </w:p>
    <w:p>
      <w:pPr>
        <w:pStyle w:val="ListParagraph"/>
        <w:numPr>
          <w:ilvl w:val="0"/>
          <w:numId w:val="45"/>
        </w:numPr>
        <w:spacing w:before="0" w:after="0"/>
        <w:contextualSpacing/>
        <w:jc w:val="both"/>
        <w:rPr>
          <w:rFonts w:cs="" w:cstheme="minorBidi"/>
          <w:color w:val="auto"/>
        </w:rPr>
      </w:pPr>
      <w:r>
        <w:rPr>
          <w:rFonts w:cs="" w:cstheme="minorBidi"/>
          <w:color w:val="auto"/>
        </w:rPr>
        <w:t>W przypadku, gdy Szkolenia będą się odbywały w trybie online liczba uczestników jest nieograniczona.</w:t>
      </w:r>
    </w:p>
    <w:p>
      <w:pPr>
        <w:pStyle w:val="ListParagraph"/>
        <w:numPr>
          <w:ilvl w:val="0"/>
          <w:numId w:val="45"/>
        </w:numPr>
        <w:spacing w:before="0" w:after="0"/>
        <w:contextualSpacing/>
        <w:jc w:val="both"/>
        <w:rPr>
          <w:color w:val="auto"/>
        </w:rPr>
      </w:pPr>
      <w:r>
        <w:rPr>
          <w:rFonts w:cs="" w:cstheme="minorBidi"/>
          <w:color w:val="auto"/>
        </w:rPr>
        <w:t xml:space="preserve">Szkolenia będą się odbywać w terminach uzgodnionych z Zamawiającym. </w:t>
      </w:r>
    </w:p>
    <w:p>
      <w:pPr>
        <w:pStyle w:val="ListParagraph"/>
        <w:numPr>
          <w:ilvl w:val="0"/>
          <w:numId w:val="45"/>
        </w:numPr>
        <w:spacing w:before="0" w:after="0"/>
        <w:contextualSpacing/>
        <w:jc w:val="both"/>
        <w:rPr>
          <w:color w:val="auto"/>
        </w:rPr>
      </w:pPr>
      <w:r>
        <w:rPr>
          <w:rFonts w:cs="" w:cstheme="minorBidi"/>
          <w:color w:val="auto"/>
        </w:rPr>
        <w:t xml:space="preserve">Zamawiający zobowiązuje się do zapewnienia udziału uczestników w Szkoleniu, a Wykonawca nie ponosi odpowiedzialności za frekwencję na Szkoleniu. </w:t>
      </w:r>
    </w:p>
    <w:p>
      <w:pPr>
        <w:pStyle w:val="ListParagraph"/>
        <w:numPr>
          <w:ilvl w:val="0"/>
          <w:numId w:val="45"/>
        </w:numPr>
        <w:spacing w:before="0" w:after="0"/>
        <w:contextualSpacing/>
        <w:jc w:val="both"/>
        <w:rPr>
          <w:rFonts w:cs="" w:cstheme="minorBidi"/>
          <w:color w:val="auto"/>
        </w:rPr>
      </w:pPr>
      <w:r>
        <w:rPr>
          <w:rFonts w:cs="" w:cstheme="minorBidi"/>
          <w:color w:val="auto"/>
        </w:rPr>
        <w:t>W ramach Szkoleń Wykonawca przekaże materiały dla uczestników w formie elektronicznej.</w:t>
      </w:r>
    </w:p>
    <w:p>
      <w:pPr>
        <w:pStyle w:val="ListParagraph"/>
        <w:numPr>
          <w:ilvl w:val="0"/>
          <w:numId w:val="45"/>
        </w:numPr>
        <w:spacing w:before="0" w:after="0"/>
        <w:contextualSpacing/>
        <w:jc w:val="both"/>
        <w:rPr>
          <w:rFonts w:cs="Calibri" w:cstheme="minorHAnsi"/>
          <w:color w:val="auto"/>
        </w:rPr>
      </w:pPr>
      <w:r>
        <w:rPr>
          <w:rFonts w:cs="Calibri" w:cstheme="minorHAnsi"/>
          <w:color w:val="auto"/>
        </w:rPr>
        <w:t xml:space="preserve">Wykonawca powiadomi Zamawiającego o zakończeniu Szkoleń, przedstawiając Zamawiającemu listy obecności. </w:t>
      </w:r>
    </w:p>
    <w:p>
      <w:pPr>
        <w:pStyle w:val="ListParagraph"/>
        <w:spacing w:before="0" w:after="0"/>
        <w:ind w:left="360"/>
        <w:contextualSpacing/>
        <w:jc w:val="both"/>
        <w:rPr>
          <w:rFonts w:cs="Calibri" w:cstheme="minorHAnsi"/>
          <w:color w:val="auto"/>
        </w:rPr>
      </w:pPr>
      <w:r>
        <w:rPr>
          <w:rFonts w:cs="Calibri" w:cstheme="minorHAnsi"/>
          <w:color w:val="auto"/>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§5</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DOKUMENTACJA PRZEDMIOTU UMOWY</w:t>
      </w:r>
    </w:p>
    <w:p>
      <w:pPr>
        <w:pStyle w:val="ListParagraph"/>
        <w:numPr>
          <w:ilvl w:val="0"/>
          <w:numId w:val="46"/>
        </w:numPr>
        <w:spacing w:before="0" w:after="0"/>
        <w:ind w:hanging="357" w:left="360"/>
        <w:contextualSpacing/>
        <w:jc w:val="both"/>
        <w:rPr>
          <w:rFonts w:cs="Calibri" w:cstheme="minorHAnsi"/>
          <w:color w:val="auto"/>
        </w:rPr>
      </w:pPr>
      <w:r>
        <w:rPr>
          <w:rFonts w:cs="Calibri" w:cstheme="minorHAnsi"/>
          <w:color w:val="auto"/>
        </w:rPr>
        <w:t>Dokumentacja Przedmiotu Umowy:</w:t>
      </w:r>
    </w:p>
    <w:p>
      <w:pPr>
        <w:pStyle w:val="ListParagraph"/>
        <w:numPr>
          <w:ilvl w:val="0"/>
          <w:numId w:val="55"/>
        </w:numPr>
        <w:spacing w:before="0" w:after="0"/>
        <w:contextualSpacing/>
        <w:jc w:val="both"/>
        <w:rPr>
          <w:rFonts w:cs="Calibri" w:cstheme="minorHAnsi"/>
          <w:color w:val="auto"/>
        </w:rPr>
      </w:pPr>
      <w:r>
        <w:rPr>
          <w:rFonts w:cs="Calibri" w:cstheme="minorHAnsi"/>
          <w:color w:val="auto"/>
        </w:rPr>
        <w:t>opracowana będzie w formie elektronicznej lub innej uzgodnionej przez Strony,</w:t>
      </w:r>
    </w:p>
    <w:p>
      <w:pPr>
        <w:pStyle w:val="ListParagraph"/>
        <w:numPr>
          <w:ilvl w:val="0"/>
          <w:numId w:val="55"/>
        </w:numPr>
        <w:spacing w:before="0" w:after="0"/>
        <w:contextualSpacing/>
        <w:jc w:val="both"/>
        <w:rPr>
          <w:rFonts w:cs="Calibri" w:cstheme="minorHAnsi"/>
          <w:color w:val="auto"/>
        </w:rPr>
      </w:pPr>
      <w:r>
        <w:rPr>
          <w:rFonts w:cs="Calibri" w:cstheme="minorHAnsi"/>
          <w:color w:val="auto"/>
        </w:rPr>
        <w:t>podlega akceptacji Zamawiającego w terminie 5 Dni roboczych od dnia jej przedłożenia przez Wykonawcę – w tym terminie Zamawiający może zaakceptować dokumentację bez zastrzeżeń lub zgłosić do niej uwagi.</w:t>
      </w:r>
    </w:p>
    <w:p>
      <w:pPr>
        <w:pStyle w:val="ListParagraph"/>
        <w:numPr>
          <w:ilvl w:val="0"/>
          <w:numId w:val="46"/>
        </w:numPr>
        <w:rPr/>
      </w:pPr>
      <w:r>
        <w:rPr/>
        <w:t>Od dnia zaakceptowania Dokumentacji przez Zamawiającego stanowi ona integralną część Umowy.</w:t>
      </w:r>
    </w:p>
    <w:p>
      <w:pPr>
        <w:pStyle w:val="NormalWeb"/>
        <w:shd w:val="clear" w:color="auto" w:fill="FFFFFF"/>
        <w:spacing w:lineRule="auto" w:line="276" w:beforeAutospacing="0" w:before="0" w:afterAutospacing="0" w:after="0"/>
        <w:ind w:left="3"/>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§6</w:t>
      </w:r>
    </w:p>
    <w:p>
      <w:pPr>
        <w:pStyle w:val="NormalWeb"/>
        <w:shd w:val="clear" w:color="auto" w:fill="FFFFFF"/>
        <w:spacing w:lineRule="auto" w:line="276" w:beforeAutospacing="0" w:before="0" w:afterAutospacing="0" w:after="0"/>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PRAWA AUTORSKIE</w:t>
      </w:r>
    </w:p>
    <w:p>
      <w:pPr>
        <w:pStyle w:val="NormalWeb"/>
        <w:numPr>
          <w:ilvl w:val="1"/>
          <w:numId w:val="5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Wykonawca oświadcza, że posiada autorskie prawa majątkowe do utworów dedykowanych, tj. utworów wytworzonych wyłącznie na potrzeby realizacji Przedmiotu Umowy, powstałych w wyniku wykonania Umowy (dalej zwanymi „utworami dedykowanymi”), obejmującymi Analizę Przedwdrożeniową, DAP i Dokumentacją powykonawczą.</w:t>
      </w:r>
    </w:p>
    <w:p>
      <w:pPr>
        <w:pStyle w:val="NormalWeb"/>
        <w:numPr>
          <w:ilvl w:val="1"/>
          <w:numId w:val="5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 ramach wynagrodzenia, o którym mowa w §10 Umowy, Wykonawca przenosi na Zamawiającego autorskie prawa majątkowe do korzystania i rozporządzania utworami dedykowanymi. </w:t>
      </w:r>
    </w:p>
    <w:p>
      <w:pPr>
        <w:pStyle w:val="NormalWeb"/>
        <w:numPr>
          <w:ilvl w:val="1"/>
          <w:numId w:val="50"/>
        </w:numPr>
        <w:shd w:val="clear" w:color="auto" w:fill="FFFFFF"/>
        <w:spacing w:lineRule="auto" w:line="276" w:beforeAutospacing="0" w:before="0" w:afterAutospacing="0" w:after="0"/>
        <w:ind w:hanging="357" w:left="36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Wykonawca udziela Zamawiającym prawa do korzystania i rozporządzania utworami dedykowanymi, na wszelkich polach eksploatacji niezbędnych dla korzystania z Przedmiotu Umowy zgodnie z jego przeznaczeniem opisanym w treści Umowy i OPZ, w tym w szczególności na następujących polach eksploatacji: </w:t>
      </w:r>
    </w:p>
    <w:p>
      <w:pPr>
        <w:pStyle w:val="NormalWeb"/>
        <w:numPr>
          <w:ilvl w:val="1"/>
          <w:numId w:val="51"/>
        </w:numPr>
        <w:shd w:val="clear" w:color="auto" w:fill="FFFFFF"/>
        <w:spacing w:lineRule="auto" w:line="276" w:beforeAutospacing="0" w:before="0" w:afterAutospacing="0" w:after="0"/>
        <w:ind w:hanging="357" w:lef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trwałe lub czasowe zwielokrotnianie utworu dedykowanego w całości lub w części jakimikolwiek środkami i w jakiejkolwiek formie; </w:t>
      </w:r>
    </w:p>
    <w:p>
      <w:pPr>
        <w:pStyle w:val="NormalWeb"/>
        <w:numPr>
          <w:ilvl w:val="1"/>
          <w:numId w:val="51"/>
        </w:numPr>
        <w:shd w:val="clear" w:color="auto" w:fill="FFFFFF"/>
        <w:spacing w:lineRule="auto" w:line="276" w:beforeAutospacing="0" w:before="0" w:afterAutospacing="0" w:after="0"/>
        <w:ind w:hanging="357" w:lef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tłumaczenia, przystosowywania, zmiany układu lub jakichkolwiek innych zmian w utworze dedykowanym, </w:t>
      </w:r>
    </w:p>
    <w:p>
      <w:pPr>
        <w:pStyle w:val="NormalWeb"/>
        <w:numPr>
          <w:ilvl w:val="1"/>
          <w:numId w:val="51"/>
        </w:numPr>
        <w:shd w:val="clear" w:color="auto" w:fill="FFFFFF"/>
        <w:spacing w:lineRule="auto" w:line="276" w:beforeAutospacing="0" w:before="0" w:afterAutospacing="0" w:after="0"/>
        <w:ind w:hanging="357" w:lef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rozpowszechniania, w tym użyczenia lub najmu utworu dedykowanego lub jego kopii, </w:t>
      </w:r>
    </w:p>
    <w:p>
      <w:pPr>
        <w:pStyle w:val="NormalWeb"/>
        <w:numPr>
          <w:ilvl w:val="1"/>
          <w:numId w:val="51"/>
        </w:numPr>
        <w:shd w:val="clear" w:color="auto" w:fill="FFFFFF"/>
        <w:spacing w:lineRule="auto" w:line="276" w:beforeAutospacing="0" w:before="0" w:afterAutospacing="0" w:after="0"/>
        <w:ind w:hanging="357" w:left="72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modyfikacji lub wprowadzania zmian do utworów dedykowanych.</w:t>
      </w:r>
    </w:p>
    <w:p>
      <w:pPr>
        <w:pStyle w:val="NormalWeb"/>
        <w:numPr>
          <w:ilvl w:val="1"/>
          <w:numId w:val="5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Wykonawca udziela Zamawiającemu prawa zależnego do opracowania utworów dedykowanych.</w:t>
      </w:r>
    </w:p>
    <w:p>
      <w:pPr>
        <w:pStyle w:val="NormalWeb"/>
        <w:numPr>
          <w:ilvl w:val="1"/>
          <w:numId w:val="52"/>
        </w:numPr>
        <w:shd w:val="clear" w:color="auto" w:fill="FFFFFF"/>
        <w:spacing w:lineRule="auto" w:line="276" w:beforeAutospacing="0" w:before="0" w:afterAutospacing="0" w:after="0"/>
        <w:ind w:hanging="357" w:left="36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Przeniesienie autorskich praw majątkowych do utworów dedykowanych następuje z chwilą podpisania Protokołu Odbioru Częściowego (Etapu) Wdrożenia, w ramach którego wykonane zostały utwory dedykowane, bez ograniczeń co do terytorium, czasu lub liczby egzemplarzy, w zakresie wszystkich pól eksploatacji wymienionych w ust. 3. </w:t>
      </w:r>
    </w:p>
    <w:p>
      <w:pPr>
        <w:pStyle w:val="NormalWeb"/>
        <w:numPr>
          <w:ilvl w:val="1"/>
          <w:numId w:val="52"/>
        </w:numPr>
        <w:shd w:val="clear" w:color="auto" w:fill="FFFFFF"/>
        <w:spacing w:lineRule="auto" w:line="276" w:before="0" w:after="28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 ramach wynagrodzenia, o którym mowa w §10 Umowy, Wykonawca przenosi na Zamawiającego prawo zezwalania na wykonywanie zależnego prawa autorskiego do utworów dedykowanych. Wykonawca udziela Zamawiającemu nieodwołalnej zgody na dokonywanie przez Zamawiającego dowolnych zmian w utworach, do których Zamawiający nabył autorskie prawa majątkowe na podstawie Umowy. </w:t>
      </w:r>
    </w:p>
    <w:p>
      <w:pPr>
        <w:pStyle w:val="NormalWeb"/>
        <w:numPr>
          <w:ilvl w:val="1"/>
          <w:numId w:val="52"/>
        </w:numPr>
        <w:shd w:val="clear" w:color="auto" w:fill="FFFFFF"/>
        <w:spacing w:lineRule="auto" w:line="276" w:before="280" w:after="28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 chwilą podpisania Protokołu Odbioru Częściowego (Etapu) Wdrożenia, w ramach których wykonane zostały utwory dedykowane, Zamawiający nabywa własność wszystkich egzemplarzy utworów dedykowanych.</w:t>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§7</w:t>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2" w:name="_Hlk203754342"/>
      <w:r>
        <w:rPr>
          <w:rStyle w:val="Strong"/>
          <w:rFonts w:cs="Calibri" w:ascii="Calibri" w:hAnsi="Calibri" w:asciiTheme="minorHAnsi" w:cstheme="minorHAnsi" w:hAnsiTheme="minorHAnsi"/>
          <w:color w:val="auto"/>
          <w:sz w:val="22"/>
          <w:szCs w:val="22"/>
        </w:rPr>
        <w:t>REALIZACJA WDROŻENIA I ODBIÓR PRZEDMIOTU UMOWY</w:t>
      </w:r>
      <w:bookmarkEnd w:id="2"/>
    </w:p>
    <w:p>
      <w:pPr>
        <w:pStyle w:val="NormalWeb"/>
        <w:keepNext w:val="true"/>
        <w:numPr>
          <w:ilvl w:val="0"/>
          <w:numId w:val="6"/>
        </w:numPr>
        <w:shd w:val="clear" w:color="auto" w:fill="FFFFFF" w:themeFill="background1"/>
        <w:spacing w:lineRule="auto" w:line="276" w:beforeAutospacing="0" w:before="0" w:afterAutospacing="0" w:after="0"/>
        <w:ind w:hanging="425" w:left="425"/>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Podstawą realizacji Wdrożenia jest DAP i Harmonogram.</w:t>
      </w:r>
    </w:p>
    <w:p>
      <w:pPr>
        <w:pStyle w:val="NormalWeb"/>
        <w:keepNext w:val="true"/>
        <w:numPr>
          <w:ilvl w:val="0"/>
          <w:numId w:val="6"/>
        </w:numPr>
        <w:shd w:val="clear" w:color="auto" w:fill="FFFFFF" w:themeFill="background1"/>
        <w:spacing w:lineRule="auto" w:line="276" w:beforeAutospacing="0" w:before="0" w:afterAutospacing="0" w:after="0"/>
        <w:ind w:hanging="426" w:left="426"/>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Wdrożenie odbywać się będzie w pomieszczeniach Zamawiającego (z</w:t>
      </w:r>
      <w:r>
        <w:rPr>
          <w:rFonts w:cs="" w:ascii="Calibri" w:hAnsi="Calibri" w:asciiTheme="minorHAnsi" w:cstheme="minorBidi" w:hAnsiTheme="minorHAnsi"/>
          <w:color w:val="auto"/>
          <w:sz w:val="22"/>
          <w:szCs w:val="22"/>
        </w:rPr>
        <w:t>akłada się nie więcej niż 5 wizyt) lub</w:t>
      </w:r>
      <w:r>
        <w:rPr>
          <w:rFonts w:cs="Calibri" w:ascii="Calibri" w:hAnsi="Calibri" w:asciiTheme="minorHAnsi" w:cstheme="minorHAnsi" w:hAnsiTheme="minorHAnsi"/>
          <w:color w:val="auto"/>
          <w:sz w:val="22"/>
          <w:szCs w:val="22"/>
        </w:rPr>
        <w:t xml:space="preserve"> w formie zdalnej. </w:t>
      </w:r>
    </w:p>
    <w:p>
      <w:pPr>
        <w:pStyle w:val="NormalWeb"/>
        <w:keepNext w:val="true"/>
        <w:numPr>
          <w:ilvl w:val="0"/>
          <w:numId w:val="6"/>
        </w:numPr>
        <w:shd w:val="clear" w:color="auto" w:fill="FFFFFF" w:themeFill="background1"/>
        <w:spacing w:lineRule="auto" w:line="276" w:beforeAutospacing="0" w:before="0" w:afterAutospacing="0" w:after="0"/>
        <w:ind w:hanging="425" w:left="425"/>
        <w:jc w:val="both"/>
        <w:rPr>
          <w:rFonts w:ascii="Calibri" w:hAnsi="Calibri" w:cs="" w:asciiTheme="minorHAnsi" w:cstheme="minorBidi" w:hAnsiTheme="minorHAnsi"/>
          <w:b/>
          <w:bCs/>
          <w:color w:val="auto"/>
          <w:sz w:val="22"/>
          <w:szCs w:val="22"/>
        </w:rPr>
      </w:pPr>
      <w:r>
        <w:rPr>
          <w:rFonts w:cs="" w:ascii="Calibri" w:hAnsi="Calibri" w:asciiTheme="minorHAnsi" w:cstheme="minorBidi" w:hAnsiTheme="minorHAnsi"/>
          <w:color w:val="auto"/>
          <w:sz w:val="22"/>
          <w:szCs w:val="22"/>
        </w:rPr>
        <w:t>Realizacja Wdrożenia w formie zdalnej odbywać się będzie poprzez zdalny dostęp zapewniony zgodnie z zasadami udzielania zdalnego dostępu do zasobów Zamawiającego określonymi w Dodatku nr 1 do Załącznika nr 3.</w:t>
      </w:r>
    </w:p>
    <w:p>
      <w:pPr>
        <w:pStyle w:val="NormalWeb"/>
        <w:numPr>
          <w:ilvl w:val="0"/>
          <w:numId w:val="6"/>
        </w:numPr>
        <w:shd w:val="clear" w:color="auto" w:fill="FFFFFF" w:themeFill="background1"/>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 w:ascii="Calibri" w:hAnsi="Calibri" w:asciiTheme="minorHAnsi" w:cstheme="minorBidi" w:hAnsiTheme="minorHAnsi"/>
          <w:color w:val="auto"/>
          <w:sz w:val="22"/>
          <w:szCs w:val="22"/>
        </w:rPr>
        <w:t>Wykonawca powiadomi Zamawiającego o zakończeniu Wdrożenia wyznaczając jednocześnie termin dokonania Odbioru Wdrożenia.</w:t>
      </w:r>
    </w:p>
    <w:p>
      <w:pPr>
        <w:pStyle w:val="NormalWeb"/>
        <w:numPr>
          <w:ilvl w:val="0"/>
          <w:numId w:val="6"/>
        </w:numPr>
        <w:shd w:val="clear" w:color="auto" w:fill="FFFFFF" w:themeFill="background1"/>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 w:ascii="Calibri" w:hAnsi="Calibri" w:asciiTheme="minorHAnsi" w:cstheme="minorBidi" w:hAnsiTheme="minorHAnsi"/>
          <w:color w:val="auto"/>
          <w:sz w:val="22"/>
          <w:szCs w:val="22"/>
        </w:rPr>
        <w:t>Odbiór Wdrożenia polega na sprawdzeniu, czy Wdrożenie zostało wykonane zgodnie z Umową</w:t>
      </w:r>
      <w:r>
        <w:rPr>
          <w:rFonts w:cs="Calibri" w:ascii="Calibri" w:hAnsi="Calibri" w:asciiTheme="minorHAnsi" w:cstheme="minorHAnsi" w:hAnsiTheme="minorHAnsi"/>
          <w:color w:val="auto"/>
          <w:sz w:val="22"/>
          <w:szCs w:val="22"/>
        </w:rPr>
        <w:t xml:space="preserve">. Wdrożenie uznane będzie za wykonane zgodnie z Umową w sytuacji, gdy </w:t>
      </w:r>
      <w:r>
        <w:rPr>
          <w:rFonts w:cs="" w:ascii="Calibri" w:hAnsi="Calibri" w:asciiTheme="minorHAnsi" w:cstheme="minorBidi" w:hAnsiTheme="minorHAnsi"/>
          <w:color w:val="auto"/>
          <w:sz w:val="22"/>
          <w:szCs w:val="22"/>
        </w:rPr>
        <w:t xml:space="preserve">wyniki testów przeprowadzonych zgodnie z Planem testów będą pozytywne. </w:t>
      </w:r>
    </w:p>
    <w:p>
      <w:pPr>
        <w:pStyle w:val="NormalWeb"/>
        <w:numPr>
          <w:ilvl w:val="0"/>
          <w:numId w:val="6"/>
        </w:numPr>
        <w:shd w:val="clear" w:color="auto" w:fill="FFFFFF" w:themeFill="background1"/>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Cs/>
          <w:color w:val="auto"/>
          <w:sz w:val="22"/>
          <w:szCs w:val="22"/>
        </w:rPr>
        <w:t>W przypadku niedostępności wymaganych do testów systemów podmiotów trzecich, w szczególności systemów za których przygotowanie i funkcjonowanie odpowiada Centrum e-Zdrowia, Zamawiający dokona Odbioru Wdrożenia w oparciu o testy przeprowadzone na środowisku testowym Wykonawcy oraz prezentację działania rozwiązania w tym zakresie. Po udostępnieniu systemów przez podmioty trzecie, w szczególności Centrum e-Zdrowia, Wykonawca dokona powtórzenia testów w ramach Gwarancji oraz wprowadzi korekty, o ile okażą się konieczne.</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cs="Calibri"/>
          <w:b/>
          <w:color w:val="auto"/>
          <w:sz w:val="22"/>
          <w:szCs w:val="22"/>
        </w:rPr>
      </w:pPr>
      <w:r>
        <w:rPr>
          <w:rFonts w:cs="Calibri" w:ascii="Calibri" w:hAnsi="Calibri"/>
          <w:color w:val="auto"/>
          <w:sz w:val="22"/>
          <w:szCs w:val="22"/>
        </w:rPr>
        <w:t xml:space="preserve">Zamawiający uzna przedmiot umowy za należycie wykonany i dokona jego odbioru, na podstawie dokumentu wystawionego przez Centrum e-Zdrowia (CeZ) potwierdzający zaindeksowanie co najmniej jednego Elektronicznego Dokumentu Medycznego (EDM) w zakresie badań laboratoryjnych lub opisów badań diagnostycznych, zaindeksowanego od dnia następującego po dniu ogłoszenia naboru, zgodnie z wytycznymi określonymi w dokumencie </w:t>
      </w:r>
      <w:r>
        <w:rPr>
          <w:rFonts w:cs="Calibri" w:ascii="Calibri" w:hAnsi="Calibri"/>
          <w:i/>
          <w:iCs/>
          <w:color w:val="auto"/>
          <w:sz w:val="22"/>
          <w:szCs w:val="22"/>
        </w:rPr>
        <w:t>11.04 Załącznik 4 do Regulaminu – Zakres realizacji przedsięwzięcia</w:t>
      </w:r>
      <w:r>
        <w:rPr>
          <w:rFonts w:cs="Calibri" w:ascii="Calibri" w:hAnsi="Calibri"/>
          <w:color w:val="auto"/>
          <w:sz w:val="22"/>
          <w:szCs w:val="22"/>
        </w:rPr>
        <w:t xml:space="preserve">, realizując tym samym wymagania wskaźnika dotyczącego wprowadzenia 9 nowych typów dokumentów EDM w ramach komponentu KPO D1.1.2.”Wykonanie każdego z Etapów Wdrożenia będzie stwierdzone Protokołem Odbioru Częściowego (Etapu) Wdrożenia, sporządzonym według wzoru stanowiącego </w:t>
      </w:r>
      <w:r>
        <w:rPr>
          <w:rFonts w:cs="Calibri" w:ascii="Calibri" w:hAnsi="Calibri"/>
          <w:bCs/>
          <w:color w:val="auto"/>
          <w:sz w:val="22"/>
          <w:szCs w:val="22"/>
        </w:rPr>
        <w:t>Załącznik nr 6</w:t>
      </w:r>
      <w:r>
        <w:rPr>
          <w:rFonts w:cs="Calibri" w:ascii="Calibri" w:hAnsi="Calibri"/>
          <w:color w:val="auto"/>
          <w:sz w:val="22"/>
          <w:szCs w:val="22"/>
        </w:rPr>
        <w:t xml:space="preserve"> do Umowy. </w:t>
      </w:r>
    </w:p>
    <w:p>
      <w:pPr>
        <w:pStyle w:val="NormalWeb"/>
        <w:numPr>
          <w:ilvl w:val="0"/>
          <w:numId w:val="6"/>
        </w:numPr>
        <w:shd w:val="clear" w:color="auto" w:fill="FFFFFF" w:themeFill="background1"/>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 w:ascii="Calibri" w:hAnsi="Calibri" w:asciiTheme="minorHAnsi" w:cstheme="minorBidi" w:hAnsiTheme="minorHAnsi"/>
          <w:color w:val="auto"/>
          <w:sz w:val="22"/>
          <w:szCs w:val="22"/>
        </w:rPr>
        <w:t>Pozytywne wyniki testów stanowią podstawę do dokonania Odbioru Wdrożenia.</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może odmówić Odbioru Wdrożenia w przypadku stwierdzenia wad istotnych Wdrożenia, tj. wad uniemożliwiających użytkowanie Oprogramowania Aplikacyjnego.</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W razie stwierdzenia podczas Odbioru wad nieistotnych, tj. wad nie uniemożliwiających użytkowanie Oprogramowania Aplikacyjnego, Zamawiający dokona Odbioru Wdrożenia z jednoczesnym wskazaniem wad nieistotnych, które zostaną usunięte w ramach Gwarancji w terminie ustalonym przez strony.</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Odbiór Wdrożenia zostanie potwierdzony Protokołem Odbioru Wdrożenia. </w:t>
      </w:r>
    </w:p>
    <w:p>
      <w:pPr>
        <w:pStyle w:val="NormalWeb"/>
        <w:numPr>
          <w:ilvl w:val="0"/>
          <w:numId w:val="6"/>
        </w:numPr>
        <w:shd w:val="clear" w:color="auto" w:fill="FFFFFF" w:themeFill="background1"/>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Nieprzystąpienie przez Zamawiającego do procedury Odbioru Wdrożenia w wyznaczonym terminie stanowi dla Wykonawcy podstawę do dokonania Odbioru Jednostronnego, w tym jednostronnego sporządzenia i podpisania Protokołu Odbioru Jednostronnego.</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 dniu Odbioru Wdrożenia Wykonawca dostarczy Zamawiającemu Dokumentację Podwykonawczą i certyfikaty licencyjne. </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cstheme="minorHAnsi"/>
          <w:color w:val="auto"/>
          <w:sz w:val="22"/>
          <w:szCs w:val="22"/>
        </w:rPr>
        <w:t>Odbiór Wdrożenia, dostarczenie Dokumentacji Powykonawczej i certyfikatów licencyjnych stanowi podstawę do podpisana przez Strony Protokołu Odbioru Przedmiotu Umowy.</w:t>
      </w:r>
    </w:p>
    <w:p>
      <w:pPr>
        <w:pStyle w:val="NormalWeb"/>
        <w:numPr>
          <w:ilvl w:val="0"/>
          <w:numId w:val="6"/>
        </w:numPr>
        <w:shd w:val="clear" w:color="auto" w:fill="FFFFFF"/>
        <w:spacing w:lineRule="auto" w:line="276" w:beforeAutospacing="0" w:before="0" w:afterAutospacing="0" w:after="0"/>
        <w:ind w:hanging="425" w:left="425"/>
        <w:jc w:val="both"/>
        <w:rPr>
          <w:rFonts w:ascii="Calibri" w:hAnsi="Calibri"/>
          <w:sz w:val="22"/>
          <w:szCs w:val="22"/>
        </w:rPr>
      </w:pPr>
      <w:r>
        <w:rPr>
          <w:rFonts w:ascii="Calibri" w:hAnsi="Calibri"/>
          <w:sz w:val="22"/>
          <w:szCs w:val="22"/>
        </w:rPr>
        <w:t xml:space="preserve">Wykonawca zobowiązany jest do realizacji zamówienia zgodnie z zasadą DNSH „nie czyń poważnej szkody”; ang. „Do Not Significant Harm”, która jest zasadą dotyczącą niewspierania ani prowadzenia działalności gospodarczej, która powoduje znaczące szkody (poważne szkody, posiada znaczący negatywny wpływ) dla któregokolwiek z celów środowiskowych takich jak: </w:t>
      </w:r>
    </w:p>
    <w:p>
      <w:pPr>
        <w:pStyle w:val="Default"/>
        <w:numPr>
          <w:ilvl w:val="0"/>
          <w:numId w:val="0"/>
        </w:numPr>
        <w:spacing w:before="0" w:after="66"/>
        <w:ind w:hanging="0" w:left="0"/>
        <w:jc w:val="left"/>
        <w:rPr>
          <w:rFonts w:ascii="Calibri" w:hAnsi="Calibri"/>
          <w:sz w:val="22"/>
          <w:szCs w:val="22"/>
        </w:rPr>
      </w:pPr>
      <w:r>
        <w:rPr>
          <w:rFonts w:ascii="Calibri" w:hAnsi="Calibri"/>
          <w:sz w:val="22"/>
          <w:szCs w:val="22"/>
        </w:rPr>
        <w:t xml:space="preserve">      </w:t>
      </w:r>
      <w:r>
        <w:rPr>
          <w:rFonts w:ascii="Calibri" w:hAnsi="Calibri"/>
          <w:sz w:val="22"/>
          <w:szCs w:val="22"/>
        </w:rPr>
        <w:t xml:space="preserve">1) łagodzenie zmian klimatu, </w:t>
      </w:r>
    </w:p>
    <w:p>
      <w:pPr>
        <w:pStyle w:val="Default"/>
        <w:numPr>
          <w:ilvl w:val="0"/>
          <w:numId w:val="0"/>
        </w:numPr>
        <w:spacing w:before="0" w:after="66"/>
        <w:ind w:hanging="0" w:left="0"/>
        <w:jc w:val="left"/>
        <w:rPr>
          <w:rFonts w:ascii="Calibri" w:hAnsi="Calibri"/>
          <w:sz w:val="22"/>
          <w:szCs w:val="22"/>
        </w:rPr>
      </w:pPr>
      <w:r>
        <w:rPr>
          <w:rFonts w:ascii="Calibri" w:hAnsi="Calibri"/>
          <w:sz w:val="22"/>
          <w:szCs w:val="22"/>
        </w:rPr>
        <w:t xml:space="preserve">      </w:t>
      </w:r>
      <w:r>
        <w:rPr>
          <w:rFonts w:ascii="Calibri" w:hAnsi="Calibri"/>
          <w:sz w:val="22"/>
          <w:szCs w:val="22"/>
        </w:rPr>
        <w:t xml:space="preserve">2) adaptacja do zmian klimatu, </w:t>
      </w:r>
    </w:p>
    <w:p>
      <w:pPr>
        <w:pStyle w:val="Default"/>
        <w:numPr>
          <w:ilvl w:val="0"/>
          <w:numId w:val="0"/>
        </w:numPr>
        <w:spacing w:before="0" w:after="66"/>
        <w:ind w:hanging="0" w:left="0"/>
        <w:jc w:val="left"/>
        <w:rPr>
          <w:rFonts w:ascii="Calibri" w:hAnsi="Calibri"/>
          <w:sz w:val="22"/>
          <w:szCs w:val="22"/>
        </w:rPr>
      </w:pPr>
      <w:r>
        <w:rPr>
          <w:rFonts w:ascii="Calibri" w:hAnsi="Calibri"/>
          <w:sz w:val="22"/>
          <w:szCs w:val="22"/>
        </w:rPr>
        <w:t xml:space="preserve">      </w:t>
      </w:r>
      <w:r>
        <w:rPr>
          <w:rFonts w:ascii="Calibri" w:hAnsi="Calibri"/>
          <w:sz w:val="22"/>
          <w:szCs w:val="22"/>
        </w:rPr>
        <w:t xml:space="preserve">3) zrównoważone wykorzystywanie i ochrona zasobów wodnych i morskich, </w:t>
      </w:r>
    </w:p>
    <w:p>
      <w:pPr>
        <w:pStyle w:val="Default"/>
        <w:numPr>
          <w:ilvl w:val="0"/>
          <w:numId w:val="0"/>
        </w:numPr>
        <w:spacing w:before="0" w:after="66"/>
        <w:ind w:hanging="0" w:left="0"/>
        <w:jc w:val="left"/>
        <w:rPr>
          <w:rFonts w:ascii="Calibri" w:hAnsi="Calibri"/>
          <w:sz w:val="22"/>
          <w:szCs w:val="22"/>
        </w:rPr>
      </w:pPr>
      <w:r>
        <w:rPr>
          <w:rFonts w:ascii="Calibri" w:hAnsi="Calibri"/>
          <w:sz w:val="22"/>
          <w:szCs w:val="22"/>
        </w:rPr>
        <w:t xml:space="preserve">      </w:t>
      </w:r>
      <w:r>
        <w:rPr>
          <w:rFonts w:ascii="Calibri" w:hAnsi="Calibri"/>
          <w:sz w:val="22"/>
          <w:szCs w:val="22"/>
        </w:rPr>
        <w:t xml:space="preserve">4) przejście na gospodarkę o obiegu zamkniętym, </w:t>
      </w:r>
    </w:p>
    <w:p>
      <w:pPr>
        <w:pStyle w:val="Default"/>
        <w:numPr>
          <w:ilvl w:val="0"/>
          <w:numId w:val="0"/>
        </w:numPr>
        <w:spacing w:before="0" w:after="66"/>
        <w:ind w:hanging="0" w:left="0"/>
        <w:jc w:val="left"/>
        <w:rPr>
          <w:rFonts w:ascii="Calibri" w:hAnsi="Calibri"/>
          <w:sz w:val="22"/>
          <w:szCs w:val="22"/>
        </w:rPr>
      </w:pPr>
      <w:r>
        <w:rPr>
          <w:rFonts w:ascii="Calibri" w:hAnsi="Calibri"/>
          <w:sz w:val="22"/>
          <w:szCs w:val="22"/>
        </w:rPr>
        <w:t xml:space="preserve">      </w:t>
      </w:r>
      <w:r>
        <w:rPr>
          <w:rFonts w:ascii="Calibri" w:hAnsi="Calibri"/>
          <w:sz w:val="22"/>
          <w:szCs w:val="22"/>
        </w:rPr>
        <w:t xml:space="preserve">5) zapobieganie zanieczyszczeniu i jego kontrola, </w:t>
      </w:r>
    </w:p>
    <w:p>
      <w:pPr>
        <w:pStyle w:val="Default"/>
        <w:numPr>
          <w:ilvl w:val="0"/>
          <w:numId w:val="0"/>
        </w:numPr>
        <w:spacing w:before="0" w:after="0"/>
        <w:ind w:hanging="0" w:left="0"/>
        <w:jc w:val="left"/>
        <w:rPr>
          <w:rFonts w:ascii="Calibri" w:hAnsi="Calibri"/>
          <w:sz w:val="22"/>
          <w:szCs w:val="22"/>
        </w:rPr>
      </w:pPr>
      <w:r>
        <w:rPr>
          <w:rFonts w:ascii="Calibri" w:hAnsi="Calibri"/>
          <w:sz w:val="22"/>
          <w:szCs w:val="22"/>
        </w:rPr>
        <w:t xml:space="preserve">      </w:t>
      </w:r>
      <w:r>
        <w:rPr>
          <w:rFonts w:ascii="Calibri" w:hAnsi="Calibri"/>
          <w:sz w:val="22"/>
          <w:szCs w:val="22"/>
        </w:rPr>
        <w:t xml:space="preserve">6) ochrona i odbudowa bioróżnorodności oraz ekosystemów. </w:t>
      </w:r>
    </w:p>
    <w:p>
      <w:pPr>
        <w:pStyle w:val="Normal"/>
        <w:numPr>
          <w:ilvl w:val="0"/>
          <w:numId w:val="0"/>
        </w:numPr>
        <w:shd w:val="clear" w:color="auto" w:fill="FFFFFF"/>
        <w:spacing w:lineRule="auto" w:line="276" w:beforeAutospacing="0" w:before="0" w:afterAutospacing="0" w:after="0"/>
        <w:ind w:hanging="0" w:left="425"/>
        <w:jc w:val="both"/>
        <w:rPr>
          <w:rFonts w:ascii="Calibri" w:hAnsi="Calibri" w:cs="Calibri" w:asciiTheme="minorHAnsi" w:cstheme="minorHAnsi" w:hAnsiTheme="minorHAnsi"/>
          <w:b/>
          <w:color w:val="auto"/>
          <w:sz w:val="22"/>
          <w:szCs w:val="22"/>
        </w:rPr>
      </w:pPr>
      <w:r>
        <w:rPr>
          <w:rFonts w:cs="Calibri" w:cstheme="minorHAnsi"/>
          <w:b/>
          <w:color w:val="auto"/>
          <w:sz w:val="22"/>
          <w:szCs w:val="22"/>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§8</w:t>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bookmarkStart w:id="3" w:name="_Hlk203754334"/>
      <w:r>
        <w:rPr>
          <w:rStyle w:val="Strong"/>
          <w:rFonts w:cs="Calibri" w:ascii="Calibri" w:hAnsi="Calibri" w:asciiTheme="minorHAnsi" w:cstheme="minorHAnsi" w:hAnsiTheme="minorHAnsi"/>
          <w:color w:val="auto"/>
          <w:sz w:val="22"/>
          <w:szCs w:val="22"/>
        </w:rPr>
        <w:t>ZOBOWIĄZANIA I OŚWIADCZENIA STRON</w:t>
      </w:r>
      <w:bookmarkEnd w:id="3"/>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Wykonawca zobowiązuje się wykonać Przedmiot Umowy z zachowaniem należytej profesjonalnej staranności i z uwzględnieniem standardów profesjonalnej obsługi projektów informatycznych.</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Wykonawca oświadcza, że posiada niezbędną wiedzę, doświadczenie, potencjał techniczny i ekonomiczny, a także odpowiednią liczbę personelu do realizacji Przedmiotu Umowy.</w:t>
      </w:r>
    </w:p>
    <w:p>
      <w:pPr>
        <w:pStyle w:val="NormalWeb"/>
        <w:numPr>
          <w:ilvl w:val="0"/>
          <w:numId w:val="12"/>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EE0000"/>
          <w:sz w:val="22"/>
          <w:szCs w:val="22"/>
        </w:rPr>
      </w:pPr>
      <w:r>
        <w:rPr>
          <w:rFonts w:cs="Calibri" w:ascii="Calibri" w:hAnsi="Calibri" w:asciiTheme="minorHAnsi" w:cstheme="minorHAnsi" w:hAnsiTheme="minorHAnsi"/>
          <w:color w:val="auto"/>
          <w:sz w:val="22"/>
          <w:szCs w:val="22"/>
        </w:rPr>
        <w:t xml:space="preserve">Wykonawca oświadcza, że na dzień zawarcia Umowy </w:t>
      </w:r>
      <w:r>
        <w:rPr>
          <w:rFonts w:cs="Calibri" w:ascii="Calibri" w:hAnsi="Calibri" w:asciiTheme="minorHAnsi" w:cstheme="minorHAnsi" w:hAnsiTheme="minorHAnsi"/>
          <w:color w:val="EE0000"/>
          <w:sz w:val="22"/>
          <w:szCs w:val="22"/>
        </w:rPr>
        <w:t xml:space="preserve">nie zamierza powierzyć wykonania części Przedmiotu Umowy podwykonawcom./zamierza powierzyć wykonanie części Przedmiotu Umowy następującemu podwykonawcy: </w:t>
      </w:r>
    </w:p>
    <w:p>
      <w:pPr>
        <w:pStyle w:val="NormalWeb"/>
        <w:shd w:val="clear" w:color="auto" w:fill="FFFFFF"/>
        <w:spacing w:lineRule="auto" w:line="276" w:beforeAutospacing="0" w:before="0" w:afterAutospacing="0" w:after="0"/>
        <w:ind w:left="425"/>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[NAZWA PODWYKONAWCY]</w:t>
      </w:r>
    </w:p>
    <w:p>
      <w:pPr>
        <w:pStyle w:val="NormalWeb"/>
        <w:shd w:val="clear" w:color="auto" w:fill="FFFFFF"/>
        <w:spacing w:lineRule="auto" w:line="276" w:beforeAutospacing="0" w:before="0" w:afterAutospacing="0" w:after="0"/>
        <w:ind w:left="425"/>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[ADRES]</w:t>
      </w:r>
    </w:p>
    <w:p>
      <w:pPr>
        <w:pStyle w:val="NormalWeb"/>
        <w:shd w:val="clear" w:color="auto" w:fill="FFFFFF"/>
        <w:spacing w:lineRule="auto" w:line="276" w:beforeAutospacing="0" w:before="0" w:afterAutospacing="0" w:after="0"/>
        <w:ind w:left="425"/>
        <w:jc w:val="both"/>
        <w:rPr>
          <w:rFonts w:ascii="Calibri" w:hAnsi="Calibri" w:cs="Calibri" w:asciiTheme="minorHAnsi" w:cstheme="minorHAnsi" w:hAnsiTheme="minorHAnsi"/>
          <w:b/>
          <w:color w:val="EE0000"/>
          <w:sz w:val="22"/>
          <w:szCs w:val="22"/>
        </w:rPr>
      </w:pPr>
      <w:r>
        <w:rPr>
          <w:rFonts w:cs="Calibri" w:ascii="Calibri" w:hAnsi="Calibri" w:asciiTheme="minorHAnsi" w:cstheme="minorHAnsi" w:hAnsiTheme="minorHAnsi"/>
          <w:color w:val="EE0000"/>
          <w:sz w:val="22"/>
          <w:szCs w:val="22"/>
        </w:rPr>
        <w:t>[NIP]</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Powierzenie podwykonawcy wykonania części Przedmiotu Umowy w trakcie realizacji Umowy, rezygnacja z podwykonawcy lub jego zmiana nie wymaga zawarcia aneksu do Umowy, wymaga jedynie powiadomienia Zamawiającego w formie pisemnej. </w:t>
      </w:r>
    </w:p>
    <w:p>
      <w:pPr>
        <w:pStyle w:val="NormalWeb"/>
        <w:numPr>
          <w:ilvl w:val="0"/>
          <w:numId w:val="12"/>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zobowiązuje się do realizacji ciążących na nim zobowiązań przewidzianych Umową zgodnie z przyjętymi standardami.</w:t>
      </w:r>
    </w:p>
    <w:p>
      <w:pPr>
        <w:pStyle w:val="NormalWeb"/>
        <w:numPr>
          <w:ilvl w:val="0"/>
          <w:numId w:val="12"/>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Zamawiający zobowiązuje się zapewnić infrastrukturę niezbędną do realizacji Przedmiotu Umowy.</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Termin sporządzenia Protokołu Stanu Zaawansowania Prac wyznacza Wykonawca w uzgodnieniu z Zamawiającym. Wykonawca zastrzega sobie prawo jednostronnego sporządzenia i podpisania protokołu, jeżeli w uzgodnionym terminie Zamawiający bez uzasadnionej przyczyny nie podpisze protokołu. </w:t>
      </w:r>
    </w:p>
    <w:p>
      <w:pPr>
        <w:pStyle w:val="NormalWeb"/>
        <w:numPr>
          <w:ilvl w:val="0"/>
          <w:numId w:val="12"/>
        </w:numPr>
        <w:shd w:val="clear" w:color="auto" w:fill="FFFFFF" w:themeFill="background1"/>
        <w:spacing w:lineRule="auto" w:line="276" w:beforeAutospacing="0" w:before="0" w:afterAutospacing="0" w:after="0"/>
        <w:jc w:val="both"/>
        <w:rPr>
          <w:rFonts w:ascii="Calibri" w:hAnsi="Calibri" w:cs="" w:asciiTheme="minorHAnsi" w:cstheme="minorBidi" w:hAnsiTheme="minorHAnsi"/>
          <w:b/>
          <w:bCs/>
          <w:color w:val="auto"/>
        </w:rPr>
      </w:pPr>
      <w:r>
        <w:rPr>
          <w:rFonts w:cs="" w:ascii="Calibri" w:hAnsi="Calibri" w:asciiTheme="minorHAnsi" w:cstheme="minorBidi" w:hAnsiTheme="minorHAnsi"/>
          <w:color w:val="auto"/>
          <w:sz w:val="22"/>
          <w:szCs w:val="22"/>
        </w:rPr>
        <w:t xml:space="preserve">W Protokole Stanu Zaawansowania Prac, Strony określą zakres usług dotychczas wykonanych oraz – w razie potrzeby - zasady rozliczenia i wynagrodzenia za usługi wykonane i rozpoczęte. </w:t>
      </w:r>
    </w:p>
    <w:p>
      <w:pPr>
        <w:pStyle w:val="NormalWeb"/>
        <w:numPr>
          <w:ilvl w:val="0"/>
          <w:numId w:val="12"/>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W związku z tym, iż prawidłowa realizacja Umowy wymaga wykonywania przez Wykonawcę operacji przetwarzania danych osobowych, których administratorem w rozumieniu art. 4 pkt 8 RODO jest Zamawiający, Zamawiający na podstawie umowy o powierzenie do przetwarzania danych osobowych, stanowiącej Załącznik nr 5, powierza Wykonawcy do przetwarzania dane osobowe w zakresie niezbędnym do prawidłowej realizacji Umowy.</w:t>
      </w:r>
    </w:p>
    <w:p>
      <w:pPr>
        <w:pStyle w:val="Default"/>
        <w:numPr>
          <w:ilvl w:val="0"/>
          <w:numId w:val="12"/>
        </w:numPr>
        <w:spacing w:lineRule="auto" w:line="276" w:before="0" w:after="0"/>
        <w:contextualSpacing/>
        <w:jc w:val="both"/>
        <w:textAlignment w:val="auto"/>
        <w:rPr>
          <w:rFonts w:ascii="Calibri" w:hAnsi="Calibri" w:eastAsia="Calibri" w:cs="Calibri" w:asciiTheme="minorHAnsi" w:cstheme="minorHAnsi" w:hAnsiTheme="minorHAnsi"/>
          <w:color w:val="auto"/>
          <w:kern w:val="2"/>
          <w:sz w:val="22"/>
          <w:szCs w:val="22"/>
        </w:rPr>
      </w:pPr>
      <w:r>
        <w:rPr>
          <w:rFonts w:cs="Calibri" w:ascii="Calibri" w:hAnsi="Calibri" w:asciiTheme="minorHAnsi" w:cstheme="minorHAnsi" w:hAnsiTheme="minorHAnsi"/>
          <w:color w:val="auto"/>
          <w:sz w:val="22"/>
          <w:szCs w:val="22"/>
        </w:rPr>
        <w:t>Zamawiający oświadcza, że spełni w imieniu Wykonawcy - w zakresie udostępnionych danych osobowych - obowiązek informacyjny Wykonawcy, o którym mowa w art. 14 RODO - wobec osób i reprezentantów, którymi Zamawiający posługuje się przy zawarciu umowy, realizacji postanowień umowy. Przedmiotowy obowiązek będzie wypełniany także względem każdej nowej osoby i reprezentanta, którego dane są lub mają być przekazane Wykonawcy. Obowiązek jest realizowany w oparciu o wzór klauzuli informacyjnej Wykonawcy stanowiącej Załącznik nr 7.</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§9</w:t>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4" w:name="_Hlk203754377"/>
      <w:r>
        <w:rPr>
          <w:rStyle w:val="Strong"/>
          <w:rFonts w:cs="Calibri" w:ascii="Calibri" w:hAnsi="Calibri" w:asciiTheme="minorHAnsi" w:cstheme="minorHAnsi" w:hAnsiTheme="minorHAnsi"/>
          <w:color w:val="auto"/>
          <w:sz w:val="22"/>
          <w:szCs w:val="22"/>
        </w:rPr>
        <w:t>KOMUNIKACJA</w:t>
      </w:r>
      <w:bookmarkEnd w:id="4"/>
    </w:p>
    <w:p>
      <w:pPr>
        <w:pStyle w:val="NormalWeb"/>
        <w:keepNext w:val="true"/>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pPr>
        <w:pStyle w:val="NormalWeb"/>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wskazują następujące adresy do doręczeń:</w:t>
      </w:r>
    </w:p>
    <w:p>
      <w:pPr>
        <w:pStyle w:val="NormalWeb"/>
        <w:numPr>
          <w:ilvl w:val="0"/>
          <w:numId w:val="14"/>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do Zamawiającego: …………………..</w:t>
      </w:r>
    </w:p>
    <w:p>
      <w:pPr>
        <w:pStyle w:val="NormalWeb"/>
        <w:numPr>
          <w:ilvl w:val="0"/>
          <w:numId w:val="14"/>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do Wykonawcy: ……………………</w:t>
      </w:r>
    </w:p>
    <w:p>
      <w:pPr>
        <w:pStyle w:val="NormalWeb"/>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pPr>
        <w:pStyle w:val="NormalWeb"/>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Strony będą w dobrej wierze współpracować oraz wymieniać potrzebne informacje w celu realizacji przedmiotu Umowy. </w:t>
      </w:r>
    </w:p>
    <w:p>
      <w:pPr>
        <w:pStyle w:val="NormalWeb"/>
        <w:numPr>
          <w:ilvl w:val="0"/>
          <w:numId w:val="13"/>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wyznaczają następujące osoby jako pełniące funkcję Kierowników Projektu:</w:t>
      </w:r>
    </w:p>
    <w:p>
      <w:pPr>
        <w:pStyle w:val="NormalWeb"/>
        <w:numPr>
          <w:ilvl w:val="0"/>
          <w:numId w:val="4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Ze strony Zamawiającego: …</w:t>
      </w:r>
    </w:p>
    <w:p>
      <w:pPr>
        <w:pStyle w:val="NormalWeb"/>
        <w:numPr>
          <w:ilvl w:val="0"/>
          <w:numId w:val="4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Ze strony Wykonawcy: ….</w:t>
      </w:r>
    </w:p>
    <w:p>
      <w:pPr>
        <w:pStyle w:val="NormalWeb"/>
        <w:numPr>
          <w:ilvl w:val="0"/>
          <w:numId w:val="13"/>
        </w:numPr>
        <w:shd w:val="clear" w:color="auto" w:fill="FFFFFF" w:themeFill="background1"/>
        <w:spacing w:lineRule="auto" w:line="276" w:beforeAutospacing="0" w:before="0" w:afterAutospacing="0" w:after="0"/>
        <w:jc w:val="both"/>
        <w:rPr>
          <w:rFonts w:ascii="Calibri" w:hAnsi="Calibri" w:cs="" w:asciiTheme="minorHAnsi" w:cstheme="minorBidi" w:hAnsiTheme="minorHAnsi"/>
          <w:color w:val="auto"/>
          <w:sz w:val="22"/>
          <w:szCs w:val="22"/>
        </w:rPr>
      </w:pPr>
      <w:r>
        <w:rPr>
          <w:rFonts w:cs="" w:ascii="Calibri" w:hAnsi="Calibri" w:asciiTheme="minorHAnsi" w:cstheme="minorBidi" w:hAnsiTheme="minorHAnsi"/>
          <w:color w:val="auto"/>
          <w:sz w:val="22"/>
          <w:szCs w:val="22"/>
        </w:rPr>
        <w:t>Osoby wskazane w ust. 5 są upoważnione do nadzoru nad realizacją Umowy, jak również do składania oświadczeń, zgłaszania uwag i stanowisk w myśl §5 i §7, do dokonywania Odbiorów przewidzianych w Umowie oraz akceptowania podmiotów przetwarzających zgodnie z postanowieniami Umowy powierzenia przetwarzania danych osobowych, stanowiącej Załącznik nr 5.</w:t>
      </w:r>
    </w:p>
    <w:p>
      <w:pPr>
        <w:pStyle w:val="NormalWeb"/>
        <w:shd w:val="clear" w:color="auto" w:fill="FFFFFF" w:themeFill="background1"/>
        <w:spacing w:lineRule="auto" w:line="276" w:beforeAutospacing="0" w:before="0" w:afterAutospacing="0" w:after="0"/>
        <w:ind w:left="360"/>
        <w:jc w:val="both"/>
        <w:rPr>
          <w:rFonts w:ascii="Calibri" w:hAnsi="Calibri" w:cs="" w:asciiTheme="minorHAnsi" w:cstheme="minorBidi" w:hAnsiTheme="minorHAnsi"/>
          <w:color w:val="auto"/>
          <w:sz w:val="22"/>
          <w:szCs w:val="22"/>
        </w:rPr>
      </w:pPr>
      <w:r>
        <w:rPr>
          <w:rFonts w:cs="" w:cstheme="minorBidi" w:ascii="Calibri" w:hAnsi="Calibri"/>
          <w:color w:val="auto"/>
          <w:sz w:val="22"/>
          <w:szCs w:val="22"/>
        </w:rPr>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10</w:t>
      </w:r>
    </w:p>
    <w:p>
      <w:pPr>
        <w:pStyle w:val="NormalWeb"/>
        <w:keepNext w:val="true"/>
        <w:shd w:val="clear" w:color="auto" w:fill="FFFFFF" w:themeFill="background1"/>
        <w:spacing w:lineRule="auto" w:line="276" w:beforeAutospacing="0" w:before="0" w:afterAutospacing="0" w:after="0"/>
        <w:ind w:hanging="425"/>
        <w:jc w:val="center"/>
        <w:rPr>
          <w:rStyle w:val="Strong"/>
          <w:rFonts w:ascii="Calibri" w:hAnsi="Calibri" w:cs="" w:asciiTheme="minorHAnsi" w:cstheme="minorBidi" w:hAnsiTheme="minorHAnsi"/>
          <w:color w:val="auto"/>
          <w:sz w:val="22"/>
          <w:szCs w:val="22"/>
        </w:rPr>
      </w:pPr>
      <w:bookmarkStart w:id="5" w:name="_Hlk203754391"/>
      <w:r>
        <w:rPr>
          <w:rStyle w:val="Strong"/>
          <w:rFonts w:cs="" w:ascii="Calibri" w:hAnsi="Calibri" w:asciiTheme="minorHAnsi" w:cstheme="minorBidi" w:hAnsiTheme="minorHAnsi"/>
          <w:color w:val="auto"/>
          <w:sz w:val="22"/>
          <w:szCs w:val="22"/>
        </w:rPr>
        <w:t>WYNAGRODZENIE</w:t>
      </w:r>
      <w:bookmarkEnd w:id="5"/>
    </w:p>
    <w:p>
      <w:pPr>
        <w:pStyle w:val="NormalWeb"/>
        <w:numPr>
          <w:ilvl w:val="0"/>
          <w:numId w:val="15"/>
        </w:numPr>
        <w:shd w:val="clear" w:color="auto" w:fill="FFFFFF" w:themeFill="background1"/>
        <w:spacing w:lineRule="auto" w:line="276" w:beforeAutospacing="0" w:before="0" w:afterAutospacing="0" w:after="0"/>
        <w:ind w:hanging="357" w:left="360"/>
        <w:jc w:val="both"/>
        <w:rPr>
          <w:rFonts w:ascii="Calibri" w:hAnsi="Calibri"/>
          <w:b/>
          <w:bCs/>
          <w:sz w:val="22"/>
          <w:szCs w:val="22"/>
        </w:rPr>
      </w:pPr>
      <w:r>
        <w:rPr>
          <w:rFonts w:cs="" w:ascii="Calibri" w:hAnsi="Calibri" w:asciiTheme="minorHAnsi" w:cstheme="minorBidi" w:hAnsiTheme="minorHAnsi"/>
          <w:b w:val="false"/>
          <w:bCs w:val="false"/>
          <w:color w:val="auto"/>
          <w:sz w:val="22"/>
          <w:szCs w:val="22"/>
        </w:rPr>
        <w:t>Z tytułu realizacji Przedmiotu Umowy, w tym udzielenia Gwarancji, Zamawiający zobowiązuje się zapłacić Wykonawcy łączne wynagrodzenie w wysokości: …...</w:t>
      </w:r>
      <w:r>
        <w:rPr>
          <w:rFonts w:cs="" w:ascii="Calibri" w:hAnsi="Calibri" w:asciiTheme="minorHAnsi" w:cstheme="minorBidi" w:hAnsiTheme="minorHAnsi"/>
          <w:b/>
          <w:bCs/>
          <w:color w:val="auto"/>
          <w:sz w:val="22"/>
          <w:szCs w:val="22"/>
        </w:rPr>
        <w:t>…. zł (słownie: …… złotych) netto, powiększone o należny podatek VAT ...%, tj. ….. zł (słownie: ……. złotych) brutto, w tym:</w:t>
      </w:r>
    </w:p>
    <w:p>
      <w:pPr>
        <w:pStyle w:val="NormalWeb"/>
        <w:numPr>
          <w:ilvl w:val="0"/>
          <w:numId w:val="0"/>
        </w:numPr>
        <w:shd w:val="clear" w:color="auto" w:fill="FFFFFF" w:themeFill="background1"/>
        <w:spacing w:lineRule="auto" w:line="276" w:beforeAutospacing="0" w:before="0" w:afterAutospacing="0" w:after="0"/>
        <w:ind w:hanging="0" w:left="360"/>
        <w:jc w:val="both"/>
        <w:rPr>
          <w:rFonts w:ascii="Calibri" w:hAnsi="Calibri"/>
          <w:b/>
          <w:bCs/>
          <w:sz w:val="22"/>
          <w:szCs w:val="22"/>
        </w:rPr>
      </w:pPr>
      <w:r>
        <w:rPr>
          <w:rFonts w:ascii="Calibri" w:hAnsi="Calibri"/>
          <w:b/>
          <w:bCs/>
          <w:sz w:val="22"/>
          <w:szCs w:val="22"/>
        </w:rPr>
      </w:r>
    </w:p>
    <w:p>
      <w:pPr>
        <w:pStyle w:val="NormalWeb"/>
        <w:numPr>
          <w:ilvl w:val="0"/>
          <w:numId w:val="16"/>
        </w:numPr>
        <w:shd w:val="clear" w:color="auto" w:fill="FFFFFF"/>
        <w:spacing w:lineRule="auto" w:line="240" w:beforeAutospacing="0" w:before="0" w:afterAutospacing="0" w:after="0"/>
        <w:ind w:hanging="357" w:left="720"/>
        <w:jc w:val="both"/>
        <w:rPr>
          <w:rFonts w:ascii="Calibri" w:hAnsi="Calibri"/>
          <w:b/>
          <w:bCs/>
          <w:sz w:val="22"/>
          <w:szCs w:val="22"/>
        </w:rPr>
      </w:pPr>
      <w:r>
        <w:rPr>
          <w:rFonts w:cs="Tahoma" w:ascii="Calibri" w:hAnsi="Calibri"/>
          <w:b/>
          <w:bCs/>
          <w:i w:val="false"/>
          <w:strike w:val="false"/>
          <w:dstrike w:val="false"/>
          <w:outline w:val="false"/>
          <w:shadow w:val="false"/>
          <w:color w:val="000000"/>
          <w:sz w:val="22"/>
          <w:szCs w:val="22"/>
          <w:u w:val="none"/>
          <w:em w:val="none"/>
        </w:rPr>
        <w:t xml:space="preserve">Pulpity lekarskie AMMS (30 licencji użytkownika)  wraz z 3-letnim nadzorem i wdrożeniem - 1 kpl. </w:t>
      </w:r>
      <w:r>
        <w:rPr>
          <w:rFonts w:cs="Calibri" w:ascii="Calibri" w:hAnsi="Calibri" w:asciiTheme="minorHAnsi" w:cstheme="minorHAnsi" w:hAnsiTheme="minorHAnsi"/>
          <w:b/>
          <w:bCs/>
          <w:color w:val="auto"/>
          <w:sz w:val="22"/>
          <w:szCs w:val="22"/>
        </w:rPr>
        <w:t xml:space="preserve"> kwotę ….. zł netto, …… zł brutto, </w:t>
      </w:r>
    </w:p>
    <w:p>
      <w:pPr>
        <w:pStyle w:val="NormalWeb"/>
        <w:numPr>
          <w:ilvl w:val="0"/>
          <w:numId w:val="0"/>
        </w:numPr>
        <w:shd w:val="clear" w:color="auto" w:fill="FFFFFF"/>
        <w:spacing w:lineRule="auto" w:line="240" w:beforeAutospacing="0" w:before="0" w:afterAutospacing="0" w:after="0"/>
        <w:ind w:hanging="0" w:left="720"/>
        <w:jc w:val="both"/>
        <w:rPr>
          <w:rFonts w:ascii="Calibri" w:hAnsi="Calibri"/>
          <w:b/>
          <w:bCs/>
          <w:sz w:val="22"/>
          <w:szCs w:val="22"/>
        </w:rPr>
      </w:pPr>
      <w:r>
        <w:rPr>
          <w:rFonts w:ascii="Calibri" w:hAnsi="Calibri"/>
          <w:b/>
          <w:bCs/>
          <w:sz w:val="22"/>
          <w:szCs w:val="22"/>
        </w:rPr>
      </w:r>
    </w:p>
    <w:p>
      <w:pPr>
        <w:pStyle w:val="Normal"/>
        <w:widowControl/>
        <w:numPr>
          <w:ilvl w:val="0"/>
          <w:numId w:val="16"/>
        </w:numPr>
        <w:suppressAutoHyphens w:val="true"/>
        <w:bidi w:val="0"/>
        <w:spacing w:lineRule="auto" w:line="240" w:before="0" w:after="0"/>
        <w:ind w:firstLine="57" w:left="283" w:right="0"/>
        <w:jc w:val="left"/>
        <w:rPr>
          <w:rFonts w:ascii="Calibri" w:hAnsi="Calibri"/>
          <w:b/>
          <w:bCs/>
          <w:sz w:val="22"/>
          <w:szCs w:val="22"/>
        </w:rPr>
      </w:pPr>
      <w:r>
        <w:rPr>
          <w:rFonts w:cs="Tahoma"/>
          <w:b/>
          <w:bCs/>
          <w:i w:val="false"/>
          <w:strike w:val="false"/>
          <w:dstrike w:val="false"/>
          <w:outline w:val="false"/>
          <w:shadow w:val="false"/>
          <w:color w:val="000000"/>
          <w:sz w:val="22"/>
          <w:szCs w:val="22"/>
          <w:u w:val="none"/>
          <w:em w:val="none"/>
        </w:rPr>
        <w:t xml:space="preserve">Pulpity pielęgniarskie AMMS (40 licencji użytkownika) wraz z 3-letnim nadzorem i wdrożeniem – 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 xml:space="preserve"> 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widowControl/>
        <w:numPr>
          <w:ilvl w:val="0"/>
          <w:numId w:val="0"/>
        </w:numPr>
        <w:suppressAutoHyphens w:val="true"/>
        <w:bidi w:val="0"/>
        <w:spacing w:lineRule="auto" w:line="240" w:before="0" w:after="0"/>
        <w:ind w:hanging="0" w:left="283" w:right="0"/>
        <w:jc w:val="left"/>
        <w:rPr>
          <w:rFonts w:ascii="Calibri" w:hAnsi="Calibri"/>
          <w:b/>
          <w:bCs/>
          <w:sz w:val="22"/>
          <w:szCs w:val="22"/>
        </w:rPr>
      </w:pPr>
      <w:r>
        <w:rPr>
          <w:b/>
          <w:bCs/>
          <w:sz w:val="22"/>
          <w:szCs w:val="22"/>
        </w:rPr>
      </w:r>
    </w:p>
    <w:p>
      <w:pPr>
        <w:pStyle w:val="Normal"/>
        <w:widowControl/>
        <w:numPr>
          <w:ilvl w:val="0"/>
          <w:numId w:val="16"/>
        </w:numPr>
        <w:suppressAutoHyphens w:val="true"/>
        <w:bidi w:val="0"/>
        <w:spacing w:lineRule="auto" w:line="240" w:before="0" w:after="160"/>
        <w:ind w:hanging="0" w:left="283" w:right="0"/>
        <w:jc w:val="both"/>
        <w:rPr>
          <w:rFonts w:ascii="Calibri" w:hAnsi="Calibri"/>
          <w:b/>
          <w:bCs/>
          <w:sz w:val="22"/>
          <w:szCs w:val="22"/>
        </w:rPr>
      </w:pPr>
      <w:r>
        <w:rPr>
          <w:rFonts w:cs="Tahoma"/>
          <w:b/>
          <w:bCs/>
          <w:color w:val="000000"/>
          <w:sz w:val="22"/>
          <w:szCs w:val="22"/>
        </w:rPr>
        <w:t xml:space="preserve">Pulpity anestezjologiczne AMMS  (10 licencji użytkownika) wraz z </w:t>
      </w:r>
      <w:r>
        <w:rPr>
          <w:rFonts w:cs="Tahoma"/>
          <w:b/>
          <w:bCs/>
          <w:i w:val="false"/>
          <w:strike w:val="false"/>
          <w:dstrike w:val="false"/>
          <w:outline w:val="false"/>
          <w:shadow w:val="false"/>
          <w:color w:val="000000"/>
          <w:sz w:val="22"/>
          <w:szCs w:val="22"/>
          <w:u w:val="none"/>
          <w:em w:val="none"/>
        </w:rPr>
        <w:t xml:space="preserve">3-letnim </w:t>
      </w:r>
      <w:r>
        <w:rPr>
          <w:rFonts w:cs="Tahoma"/>
          <w:b/>
          <w:bCs/>
          <w:color w:val="000000"/>
          <w:sz w:val="22"/>
          <w:szCs w:val="22"/>
        </w:rPr>
        <w:t xml:space="preserve">nadzorem i wdrożeniem 1 kpl. - </w:t>
      </w:r>
      <w:r>
        <w:rPr>
          <w:rFonts w:cs="Calibri" w:cstheme="minorHAnsi"/>
          <w:b/>
          <w:bCs/>
          <w:i w:val="false"/>
          <w:strike w:val="false"/>
          <w:dstrike w:val="false"/>
          <w:outline w:val="false"/>
          <w:shadow w:val="false"/>
          <w:color w:val="auto"/>
          <w:sz w:val="22"/>
          <w:szCs w:val="22"/>
          <w:u w:val="none"/>
          <w:em w:val="none"/>
        </w:rPr>
        <w:t xml:space="preserve">kwotę ….. zł netto, …… zł brutto, </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Karta Anestezjologiczna  AMMS (licencja na funkcjonalność) wraz z </w:t>
      </w:r>
      <w:r>
        <w:rPr>
          <w:rFonts w:cs="Tahoma"/>
          <w:b/>
          <w:bCs/>
          <w:i w:val="false"/>
          <w:strike w:val="false"/>
          <w:dstrike w:val="false"/>
          <w:outline w:val="false"/>
          <w:shadow w:val="false"/>
          <w:color w:val="000000"/>
          <w:sz w:val="22"/>
          <w:szCs w:val="22"/>
          <w:u w:val="none"/>
          <w:em w:val="none"/>
        </w:rPr>
        <w:t xml:space="preserve">3-letnim </w:t>
      </w:r>
      <w:r>
        <w:rPr>
          <w:rFonts w:cs="Tahoma"/>
          <w:b/>
          <w:bCs/>
          <w:color w:val="000000"/>
          <w:sz w:val="22"/>
          <w:szCs w:val="22"/>
        </w:rPr>
        <w:t>nadzorem i wdrożeniem</w:t>
      </w:r>
      <w:r>
        <w:rPr>
          <w:rFonts w:cs="Tahoma"/>
          <w:b/>
          <w:bCs/>
          <w:i w:val="false"/>
          <w:strike w:val="false"/>
          <w:dstrike w:val="false"/>
          <w:outline w:val="false"/>
          <w:shadow w:val="false"/>
          <w:color w:val="000000"/>
          <w:sz w:val="22"/>
          <w:szCs w:val="22"/>
          <w:u w:val="none"/>
          <w:em w:val="none"/>
        </w:rPr>
        <w:t xml:space="preserve"> – 1 kpl. </w:t>
      </w:r>
      <w:r>
        <w:rPr>
          <w:rFonts w:cs="Calibri" w:cstheme="minorHAnsi"/>
          <w:b/>
          <w:bCs/>
          <w:i w:val="false"/>
          <w:strike w:val="false"/>
          <w:dstrike w:val="false"/>
          <w:outline w:val="false"/>
          <w:shadow w:val="false"/>
          <w:color w:val="auto"/>
          <w:sz w:val="22"/>
          <w:szCs w:val="22"/>
          <w:u w:val="none"/>
          <w:em w:val="none"/>
        </w:rPr>
        <w:t xml:space="preserve">kwotę ….. zł netto, …… zł brutto, </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Indywidualny Plan Opieki  AMMS (licencja na funkcjonalność) wraz z </w:t>
      </w:r>
      <w:r>
        <w:rPr>
          <w:rFonts w:cs="Tahoma"/>
          <w:b/>
          <w:bCs/>
          <w:i w:val="false"/>
          <w:strike w:val="false"/>
          <w:dstrike w:val="false"/>
          <w:outline w:val="false"/>
          <w:shadow w:val="false"/>
          <w:color w:val="000000"/>
          <w:sz w:val="22"/>
          <w:szCs w:val="22"/>
          <w:u w:val="none"/>
          <w:em w:val="none"/>
        </w:rPr>
        <w:t xml:space="preserve">3-letnim </w:t>
      </w:r>
      <w:r>
        <w:rPr>
          <w:rFonts w:cs="Tahoma"/>
          <w:b/>
          <w:bCs/>
          <w:color w:val="000000"/>
          <w:sz w:val="22"/>
          <w:szCs w:val="22"/>
        </w:rPr>
        <w:t xml:space="preserve">nadzorem i wdrożeniem </w:t>
      </w:r>
      <w:r>
        <w:rPr>
          <w:rFonts w:cs="Tahoma"/>
          <w:b/>
          <w:bCs/>
          <w:i w:val="false"/>
          <w:strike w:val="false"/>
          <w:dstrike w:val="false"/>
          <w:outline w:val="false"/>
          <w:shadow w:val="false"/>
          <w:color w:val="000000"/>
          <w:sz w:val="22"/>
          <w:szCs w:val="22"/>
          <w:u w:val="none"/>
          <w:em w:val="none"/>
        </w:rPr>
        <w:t xml:space="preserve">– 1 kpl. </w:t>
      </w:r>
      <w:r>
        <w:rPr>
          <w:rFonts w:cs="Calibri" w:cstheme="minorHAnsi"/>
          <w:b/>
          <w:bCs/>
          <w:i w:val="false"/>
          <w:strike w:val="false"/>
          <w:dstrike w:val="false"/>
          <w:outline w:val="false"/>
          <w:shadow w:val="false"/>
          <w:color w:val="auto"/>
          <w:sz w:val="22"/>
          <w:szCs w:val="22"/>
          <w:u w:val="none"/>
          <w:em w:val="none"/>
        </w:rPr>
        <w:t xml:space="preserve">kwotę ….. zł netto, …… zł brutto, </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Serwer integracyjny HL7 AMMS (licencja na funkcjonalność) wraz z </w:t>
      </w:r>
      <w:r>
        <w:rPr>
          <w:rFonts w:cs="Tahoma"/>
          <w:b/>
          <w:bCs/>
          <w:i w:val="false"/>
          <w:strike w:val="false"/>
          <w:dstrike w:val="false"/>
          <w:outline w:val="false"/>
          <w:shadow w:val="false"/>
          <w:color w:val="000000"/>
          <w:sz w:val="22"/>
          <w:szCs w:val="22"/>
          <w:u w:val="none"/>
          <w:em w:val="none"/>
        </w:rPr>
        <w:t>3-letnim</w:t>
      </w:r>
      <w:r>
        <w:rPr>
          <w:rFonts w:cs="Tahoma"/>
          <w:b/>
          <w:bCs/>
          <w:color w:val="000000"/>
          <w:sz w:val="22"/>
          <w:szCs w:val="22"/>
        </w:rPr>
        <w:t xml:space="preserve"> nadzorem i wdrożeniem </w:t>
      </w:r>
      <w:r>
        <w:rPr>
          <w:rFonts w:cs="Tahoma"/>
          <w:b/>
          <w:bCs/>
          <w:i w:val="false"/>
          <w:strike w:val="false"/>
          <w:dstrike w:val="false"/>
          <w:outline w:val="false"/>
          <w:shadow w:val="false"/>
          <w:color w:val="000000"/>
          <w:sz w:val="22"/>
          <w:szCs w:val="22"/>
          <w:u w:val="none"/>
          <w:em w:val="none"/>
        </w:rPr>
        <w:t xml:space="preserve">– 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Diety indywidualne AMMS  (licencja na funkcjonalność) wraz z </w:t>
      </w:r>
      <w:r>
        <w:rPr>
          <w:rFonts w:cs="Tahoma"/>
          <w:b/>
          <w:bCs/>
          <w:i w:val="false"/>
          <w:strike w:val="false"/>
          <w:dstrike w:val="false"/>
          <w:outline w:val="false"/>
          <w:shadow w:val="false"/>
          <w:color w:val="000000"/>
          <w:sz w:val="22"/>
          <w:szCs w:val="22"/>
          <w:u w:val="none"/>
          <w:em w:val="none"/>
        </w:rPr>
        <w:t>3-letnim</w:t>
      </w:r>
      <w:r>
        <w:rPr>
          <w:rFonts w:cs="Tahoma"/>
          <w:b/>
          <w:bCs/>
          <w:color w:val="000000"/>
          <w:sz w:val="22"/>
          <w:szCs w:val="22"/>
        </w:rPr>
        <w:t xml:space="preserve"> nadzorem i wdrożeniem </w:t>
      </w:r>
      <w:r>
        <w:rPr>
          <w:rFonts w:cs="Tahoma"/>
          <w:b/>
          <w:bCs/>
          <w:i w:val="false"/>
          <w:strike w:val="false"/>
          <w:dstrike w:val="false"/>
          <w:outline w:val="false"/>
          <w:shadow w:val="false"/>
          <w:color w:val="000000"/>
          <w:sz w:val="22"/>
          <w:szCs w:val="22"/>
          <w:u w:val="none"/>
          <w:em w:val="none"/>
        </w:rPr>
        <w:t xml:space="preserve">– 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Kwalifikacje do szczepień i szczepienia AMMS (licencja na funkcjonalność) wraz z </w:t>
      </w:r>
      <w:r>
        <w:rPr>
          <w:rFonts w:cs="Tahoma"/>
          <w:b/>
          <w:bCs/>
          <w:i w:val="false"/>
          <w:strike w:val="false"/>
          <w:dstrike w:val="false"/>
          <w:outline w:val="false"/>
          <w:shadow w:val="false"/>
          <w:color w:val="000000"/>
          <w:sz w:val="22"/>
          <w:szCs w:val="22"/>
          <w:u w:val="none"/>
          <w:em w:val="none"/>
        </w:rPr>
        <w:t xml:space="preserve">3-letnim </w:t>
      </w:r>
      <w:r>
        <w:rPr>
          <w:rFonts w:cs="Tahoma"/>
          <w:b/>
          <w:bCs/>
          <w:color w:val="000000"/>
          <w:sz w:val="22"/>
          <w:szCs w:val="22"/>
        </w:rPr>
        <w:t xml:space="preserve">nadzorem i wdrożeniem </w:t>
      </w:r>
      <w:r>
        <w:rPr>
          <w:rFonts w:cs="Tahoma"/>
          <w:b/>
          <w:bCs/>
          <w:i w:val="false"/>
          <w:strike w:val="false"/>
          <w:dstrike w:val="false"/>
          <w:outline w:val="false"/>
          <w:shadow w:val="false"/>
          <w:color w:val="000000"/>
          <w:sz w:val="22"/>
          <w:szCs w:val="22"/>
          <w:u w:val="none"/>
          <w:em w:val="none"/>
        </w:rPr>
        <w:t xml:space="preserve">– 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Ankieta Udarowa  AMMS (licencja na funkcjonalność) wraz z </w:t>
      </w:r>
      <w:r>
        <w:rPr>
          <w:rFonts w:cs="Tahoma"/>
          <w:b/>
          <w:bCs/>
          <w:i w:val="false"/>
          <w:strike w:val="false"/>
          <w:dstrike w:val="false"/>
          <w:outline w:val="false"/>
          <w:shadow w:val="false"/>
          <w:color w:val="000000"/>
          <w:sz w:val="22"/>
          <w:szCs w:val="22"/>
          <w:u w:val="none"/>
          <w:em w:val="none"/>
        </w:rPr>
        <w:t xml:space="preserve">3-letnim </w:t>
      </w:r>
      <w:r>
        <w:rPr>
          <w:rFonts w:cs="Tahoma"/>
          <w:b/>
          <w:bCs/>
          <w:color w:val="000000"/>
          <w:sz w:val="22"/>
          <w:szCs w:val="22"/>
        </w:rPr>
        <w:t xml:space="preserve">nadzorem i wdrożeniem </w:t>
      </w:r>
      <w:r>
        <w:rPr>
          <w:rFonts w:cs="Tahoma"/>
          <w:b/>
          <w:bCs/>
          <w:i w:val="false"/>
          <w:strike w:val="false"/>
          <w:dstrike w:val="false"/>
          <w:outline w:val="false"/>
          <w:shadow w:val="false"/>
          <w:color w:val="000000"/>
          <w:sz w:val="22"/>
          <w:szCs w:val="22"/>
          <w:u w:val="none"/>
          <w:em w:val="none"/>
        </w:rPr>
        <w:t xml:space="preserve">– 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Ankieta SIMP AMMS (licencja na funkcjonalność) wraz z </w:t>
      </w:r>
      <w:r>
        <w:rPr>
          <w:rFonts w:cs="Tahoma"/>
          <w:b/>
          <w:bCs/>
          <w:i w:val="false"/>
          <w:strike w:val="false"/>
          <w:dstrike w:val="false"/>
          <w:outline w:val="false"/>
          <w:shadow w:val="false"/>
          <w:color w:val="000000"/>
          <w:sz w:val="22"/>
          <w:szCs w:val="22"/>
          <w:u w:val="none"/>
          <w:em w:val="none"/>
        </w:rPr>
        <w:t xml:space="preserve">3-letnim </w:t>
      </w:r>
      <w:r>
        <w:rPr>
          <w:rFonts w:cs="Tahoma"/>
          <w:b/>
          <w:bCs/>
          <w:color w:val="000000"/>
          <w:sz w:val="22"/>
          <w:szCs w:val="22"/>
        </w:rPr>
        <w:t xml:space="preserve">nadzorem i wdrożeniem - </w:t>
      </w:r>
      <w:r>
        <w:rPr>
          <w:rFonts w:cs="Tahoma"/>
          <w:b/>
          <w:bCs/>
          <w:i w:val="false"/>
          <w:strike w:val="false"/>
          <w:dstrike w:val="false"/>
          <w:outline w:val="false"/>
          <w:shadow w:val="false"/>
          <w:color w:val="000000"/>
          <w:sz w:val="22"/>
          <w:szCs w:val="22"/>
          <w:u w:val="none"/>
          <w:em w:val="none"/>
        </w:rPr>
        <w:t xml:space="preserve">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Ankieta Endoprotezoplastyki AMMS (licencja na funkcjonalność) wraz z 3 letnim nadzorem i wdrożeniem - </w:t>
      </w:r>
      <w:r>
        <w:rPr>
          <w:rFonts w:cs="Tahoma"/>
          <w:b/>
          <w:bCs/>
          <w:i w:val="false"/>
          <w:strike w:val="false"/>
          <w:dstrike w:val="false"/>
          <w:outline w:val="false"/>
          <w:shadow w:val="false"/>
          <w:color w:val="000000"/>
          <w:sz w:val="22"/>
          <w:szCs w:val="22"/>
          <w:u w:val="none"/>
          <w:em w:val="none"/>
        </w:rPr>
        <w:t xml:space="preserve">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color w:val="000000"/>
          <w:sz w:val="22"/>
          <w:szCs w:val="22"/>
        </w:rPr>
        <w:t xml:space="preserve">EDM  AMMS  - Nowe elementy (licencja na funkcjonalność) wraz z </w:t>
      </w:r>
      <w:r>
        <w:rPr>
          <w:rFonts w:cs="Tahoma"/>
          <w:b/>
          <w:bCs/>
          <w:i w:val="false"/>
          <w:strike w:val="false"/>
          <w:dstrike w:val="false"/>
          <w:outline w:val="false"/>
          <w:shadow w:val="false"/>
          <w:color w:val="000000"/>
          <w:sz w:val="22"/>
          <w:szCs w:val="22"/>
          <w:u w:val="none"/>
          <w:em w:val="none"/>
        </w:rPr>
        <w:t>3-letnim</w:t>
      </w:r>
      <w:r>
        <w:rPr>
          <w:rFonts w:cs="Tahoma"/>
          <w:b/>
          <w:bCs/>
          <w:color w:val="000000"/>
          <w:sz w:val="22"/>
          <w:szCs w:val="22"/>
        </w:rPr>
        <w:t xml:space="preserve"> nadzorem i wdrożeniem - </w:t>
      </w:r>
      <w:r>
        <w:rPr>
          <w:rFonts w:cs="Tahoma"/>
          <w:b/>
          <w:bCs/>
          <w:i w:val="false"/>
          <w:strike w:val="false"/>
          <w:dstrike w:val="false"/>
          <w:outline w:val="false"/>
          <w:shadow w:val="false"/>
          <w:color w:val="000000"/>
          <w:sz w:val="22"/>
          <w:szCs w:val="22"/>
          <w:u w:val="none"/>
          <w:em w:val="none"/>
        </w:rPr>
        <w:t xml:space="preserve">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i w:val="false"/>
          <w:strike w:val="false"/>
          <w:dstrike w:val="false"/>
          <w:outline w:val="false"/>
          <w:shadow w:val="false"/>
          <w:color w:val="000000"/>
          <w:sz w:val="22"/>
          <w:szCs w:val="22"/>
          <w:u w:val="none"/>
          <w:em w:val="none"/>
        </w:rPr>
        <w:t>Monitoring środowiska AMMS (</w:t>
      </w:r>
      <w:r>
        <w:rPr>
          <w:rFonts w:cs="Tahoma"/>
          <w:b/>
          <w:bCs/>
          <w:i w:val="false"/>
          <w:strike w:val="false"/>
          <w:dstrike w:val="false"/>
          <w:outline w:val="false"/>
          <w:shadow w:val="false"/>
          <w:color w:val="000000"/>
          <w:sz w:val="22"/>
          <w:szCs w:val="22"/>
          <w:u w:val="none"/>
          <w:em w:val="none"/>
          <w:lang w:val="pl-PL" w:bidi="ar-SA"/>
        </w:rPr>
        <w:t>36 miesięcy)</w:t>
      </w:r>
      <w:r>
        <w:rPr>
          <w:rFonts w:cs="Tahoma"/>
          <w:b/>
          <w:bCs/>
          <w:i w:val="false"/>
          <w:strike w:val="false"/>
          <w:dstrike w:val="false"/>
          <w:outline w:val="false"/>
          <w:shadow w:val="false"/>
          <w:color w:val="000000"/>
          <w:sz w:val="22"/>
          <w:szCs w:val="22"/>
          <w:u w:val="none"/>
          <w:em w:val="none"/>
        </w:rPr>
        <w:t xml:space="preserve">.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rFonts w:cs="Tahoma"/>
          <w:b/>
          <w:bCs/>
          <w:i w:val="false"/>
          <w:strike w:val="false"/>
          <w:dstrike w:val="false"/>
          <w:outline w:val="false"/>
          <w:shadow w:val="false"/>
          <w:color w:val="000000"/>
          <w:sz w:val="22"/>
          <w:szCs w:val="22"/>
          <w:u w:val="none"/>
          <w:em w:val="none"/>
        </w:rPr>
        <w:t xml:space="preserve">Interfejs indeksujący skanowaną dokumentację papierową AMMS </w:t>
      </w:r>
      <w:r>
        <w:rPr>
          <w:b/>
          <w:bCs/>
          <w:sz w:val="22"/>
          <w:szCs w:val="22"/>
        </w:rPr>
        <w:t xml:space="preserve">(licencja na funkcjonalność) wraz z </w:t>
      </w:r>
      <w:r>
        <w:rPr>
          <w:rFonts w:cs="Tahoma"/>
          <w:b/>
          <w:bCs/>
          <w:i w:val="false"/>
          <w:strike w:val="false"/>
          <w:dstrike w:val="false"/>
          <w:outline w:val="false"/>
          <w:shadow w:val="false"/>
          <w:color w:val="000000"/>
          <w:sz w:val="22"/>
          <w:szCs w:val="22"/>
          <w:u w:val="none"/>
          <w:em w:val="none"/>
        </w:rPr>
        <w:t>3-letnim</w:t>
      </w:r>
      <w:r>
        <w:rPr>
          <w:b/>
          <w:bCs/>
          <w:sz w:val="22"/>
          <w:szCs w:val="22"/>
        </w:rPr>
        <w:t xml:space="preserve"> nadzorem i wdrożeniem </w:t>
      </w:r>
      <w:r>
        <w:rPr>
          <w:rFonts w:cs="Tahoma"/>
          <w:b/>
          <w:bCs/>
          <w:color w:val="000000"/>
          <w:sz w:val="22"/>
          <w:szCs w:val="22"/>
        </w:rPr>
        <w:t xml:space="preserve">- </w:t>
      </w:r>
      <w:r>
        <w:rPr>
          <w:rFonts w:cs="Tahoma"/>
          <w:b/>
          <w:bCs/>
          <w:i w:val="false"/>
          <w:strike w:val="false"/>
          <w:dstrike w:val="false"/>
          <w:outline w:val="false"/>
          <w:shadow w:val="false"/>
          <w:color w:val="000000"/>
          <w:sz w:val="22"/>
          <w:szCs w:val="22"/>
          <w:u w:val="none"/>
          <w:em w:val="none"/>
        </w:rPr>
        <w:t xml:space="preserve">1 kpl. </w:t>
      </w:r>
      <w:r>
        <w:rPr>
          <w:rFonts w:cs="Calibri" w:cstheme="minorHAnsi"/>
          <w:b/>
          <w:bCs/>
          <w:i w:val="false"/>
          <w:strike w:val="false"/>
          <w:dstrike w:val="false"/>
          <w:outline w:val="false"/>
          <w:shadow w:val="false"/>
          <w:color w:val="auto"/>
          <w:sz w:val="22"/>
          <w:szCs w:val="22"/>
          <w:u w:val="none"/>
          <w:em w:val="none"/>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
        <w:numPr>
          <w:ilvl w:val="0"/>
          <w:numId w:val="16"/>
        </w:numPr>
        <w:bidi w:val="0"/>
        <w:spacing w:lineRule="auto" w:line="240"/>
        <w:ind w:hanging="0" w:left="283"/>
        <w:jc w:val="both"/>
        <w:rPr>
          <w:rFonts w:ascii="Calibri" w:hAnsi="Calibri"/>
          <w:b/>
          <w:bCs/>
          <w:sz w:val="22"/>
          <w:szCs w:val="22"/>
        </w:rPr>
      </w:pPr>
      <w:r>
        <w:rPr>
          <w:b/>
          <w:bCs/>
          <w:sz w:val="22"/>
          <w:szCs w:val="22"/>
        </w:rPr>
        <w:t xml:space="preserve">Serwis nowych modułów oprogramowania AMMS - 1 kpl </w:t>
      </w:r>
      <w:r>
        <w:rPr>
          <w:b/>
          <w:bCs/>
          <w:sz w:val="22"/>
          <w:szCs w:val="22"/>
          <w:shd w:fill="DDE8CB" w:val="clear"/>
          <w:lang w:val="pl-PL" w:bidi="ar-SA"/>
        </w:rPr>
        <w:t>(</w:t>
      </w:r>
      <w:r>
        <w:rPr>
          <w:rFonts w:cs="Calibri" w:cstheme="minorHAnsi"/>
          <w:b/>
          <w:bCs/>
          <w:color w:val="auto"/>
          <w:sz w:val="22"/>
          <w:szCs w:val="22"/>
        </w:rPr>
        <w:t>kwotę ….. zł netto, …… zł brutto,</w:t>
      </w:r>
      <w:r>
        <w:rPr>
          <w:rFonts w:cs="" w:cstheme="minorBidi"/>
          <w:b/>
          <w:bCs/>
          <w:i w:val="false"/>
          <w:strike w:val="false"/>
          <w:dstrike w:val="false"/>
          <w:outline w:val="false"/>
          <w:shadow w:val="false"/>
          <w:color w:val="auto"/>
          <w:sz w:val="22"/>
          <w:szCs w:val="22"/>
          <w:u w:val="none"/>
          <w:em w:val="none"/>
        </w:rPr>
        <w:t>VAT …... zł</w:t>
      </w:r>
      <w:r>
        <w:rPr>
          <w:rFonts w:cs="Calibri" w:cstheme="minorHAnsi"/>
          <w:b/>
          <w:bCs/>
          <w:i w:val="false"/>
          <w:strike w:val="false"/>
          <w:dstrike w:val="false"/>
          <w:outline w:val="false"/>
          <w:shadow w:val="false"/>
          <w:color w:val="auto"/>
          <w:sz w:val="22"/>
          <w:szCs w:val="22"/>
          <w:u w:val="none"/>
          <w:em w:val="none"/>
        </w:rPr>
        <w:t xml:space="preserve"> </w:t>
      </w:r>
    </w:p>
    <w:p>
      <w:pPr>
        <w:pStyle w:val="NormalWeb"/>
        <w:numPr>
          <w:ilvl w:val="0"/>
          <w:numId w:val="15"/>
        </w:numPr>
        <w:shd w:val="clear" w:color="auto" w:fill="FFFFFF"/>
        <w:spacing w:lineRule="auto" w:line="276" w:beforeAutospacing="0" w:before="0" w:afterAutospacing="0" w:after="0"/>
        <w:jc w:val="both"/>
        <w:rPr>
          <w:rFonts w:ascii="Calibri" w:hAnsi="Calibri"/>
          <w:sz w:val="22"/>
          <w:szCs w:val="22"/>
        </w:rPr>
      </w:pPr>
      <w:r>
        <w:rPr>
          <w:rFonts w:cs="Calibri" w:ascii="Calibri" w:hAnsi="Calibri" w:asciiTheme="minorHAnsi" w:cstheme="minorHAnsi" w:hAnsiTheme="minorHAnsi"/>
          <w:sz w:val="22"/>
          <w:szCs w:val="22"/>
        </w:rPr>
        <w:t>Szczegółowy podział wynagrodzenia</w:t>
      </w:r>
      <w:r>
        <w:rPr>
          <w:rFonts w:cs="Calibri" w:ascii="Calibri" w:hAnsi="Calibri" w:asciiTheme="minorHAnsi" w:cstheme="minorHAnsi" w:hAnsiTheme="minorHAnsi"/>
          <w:sz w:val="22"/>
          <w:szCs w:val="22"/>
          <w:shd w:fill="FFFFFF" w:val="clear"/>
        </w:rPr>
        <w:t xml:space="preserve"> </w:t>
      </w:r>
      <w:r>
        <w:rPr>
          <w:rFonts w:cs="Calibri" w:ascii="Calibri" w:hAnsi="Calibri" w:asciiTheme="minorHAnsi" w:cstheme="minorHAnsi" w:hAnsiTheme="minorHAnsi"/>
          <w:color w:val="000000"/>
          <w:sz w:val="22"/>
          <w:szCs w:val="22"/>
          <w:shd w:fill="FFFFFF" w:val="clear"/>
        </w:rPr>
        <w:t>na części</w:t>
      </w:r>
      <w:r>
        <w:rPr>
          <w:rFonts w:cs="Calibri" w:ascii="Calibri" w:hAnsi="Calibri" w:asciiTheme="minorHAnsi" w:cstheme="minorHAnsi" w:hAnsiTheme="minorHAnsi"/>
          <w:sz w:val="22"/>
          <w:szCs w:val="22"/>
          <w:shd w:fill="FFFFFF" w:val="clear"/>
        </w:rPr>
        <w:t xml:space="preserve"> oraz inne elementy składowe zostały określone w PAKIECIE  NR 1 - </w:t>
      </w:r>
      <w:r>
        <w:rPr>
          <w:rFonts w:cs="Calibri" w:ascii="Calibri" w:hAnsi="Calibri" w:asciiTheme="minorHAnsi" w:cstheme="minorHAnsi" w:hAnsiTheme="minorHAnsi"/>
          <w:bCs/>
          <w:sz w:val="22"/>
          <w:szCs w:val="22"/>
          <w:shd w:fill="FFFFFF" w:val="clear"/>
        </w:rPr>
        <w:t xml:space="preserve">ARKUSZ CENOWY – OPIS PRZEDMIOTU ZAMÓWIENIA </w:t>
      </w:r>
      <w:r>
        <w:rPr>
          <w:rFonts w:cs="Calibri" w:ascii="Calibri" w:hAnsi="Calibri" w:asciiTheme="minorHAnsi" w:cstheme="minorHAnsi" w:hAnsiTheme="minorHAnsi"/>
          <w:sz w:val="22"/>
          <w:szCs w:val="22"/>
          <w:shd w:fill="FFFFFF" w:val="clear"/>
        </w:rPr>
        <w:t xml:space="preserve"> stanowiącym Załącznik nr 1 do Umowy. </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 w:ascii="Calibri" w:hAnsi="Calibri" w:asciiTheme="minorHAnsi" w:cstheme="minorBidi" w:hAnsiTheme="minorHAnsi"/>
          <w:color w:val="auto"/>
          <w:sz w:val="22"/>
          <w:szCs w:val="22"/>
          <w:shd w:fill="FFFFFF" w:val="clear"/>
        </w:rPr>
        <w:t>Wynagrodzenie za wykonanie Przedmiotu Umowy zostanie zapłacone na podstawie faktury VAT wystawionej przez Wykonawcę po Od</w:t>
      </w:r>
      <w:r>
        <w:rPr>
          <w:rFonts w:cs="" w:ascii="Calibri" w:hAnsi="Calibri" w:asciiTheme="minorHAnsi" w:cstheme="minorBidi" w:hAnsiTheme="minorHAnsi"/>
          <w:color w:val="auto"/>
          <w:sz w:val="22"/>
          <w:szCs w:val="22"/>
        </w:rPr>
        <w:t>biorze Wdrożenia</w:t>
      </w:r>
      <w:r>
        <w:rPr>
          <w:rFonts w:cs="Calibri" w:ascii="Calibri" w:hAnsi="Calibri" w:asciiTheme="minorHAnsi" w:cstheme="minorHAnsi" w:hAnsiTheme="minorHAnsi"/>
          <w:color w:val="auto"/>
          <w:sz w:val="22"/>
          <w:szCs w:val="22"/>
        </w:rPr>
        <w:t xml:space="preserve">, w terminie 30 dni od dnia doręczenia Zamawiającemu prawidłowo wystawionej faktury, przelewem na rachunek bankowy Wykonawcy wskazany w fakturze. </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 w:ascii="Calibri" w:hAnsi="Calibri" w:cstheme="minorBidi"/>
          <w:color w:val="auto"/>
          <w:sz w:val="22"/>
          <w:szCs w:val="22"/>
        </w:rPr>
        <w:t>Dniem zapłaty wynagrodzenia przez Zamawiającego jest dzień obciążenia rachunku bankowego Zamawiającego.</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cstheme="minorHAnsi"/>
          <w:color w:val="auto"/>
          <w:sz w:val="22"/>
          <w:szCs w:val="22"/>
        </w:rPr>
        <w:t>Zamawiający, w przypadku gdy stwierdzi, że wskazany rachunek bankowy Wykonawcy – jeżeli Wykonawca jest zarejestrowany jako czynny podatnik VAT – nie jest ujawniony w wykazie podmiotów zarejestrowanych jako podatnicy VAT, jest uprawniony do wstrzymania wypłaty wynagrodzenia Wykonawcy, do czasu wskazania prawidłowego numeru rachunku bankowego. W związku z takim wstrzymaniem płatności Wykonawcy nie należą się żadne odsetki.</w:t>
      </w:r>
    </w:p>
    <w:p>
      <w:pPr>
        <w:pStyle w:val="NormalWeb"/>
        <w:numPr>
          <w:ilvl w:val="0"/>
          <w:numId w:val="15"/>
        </w:numPr>
        <w:shd w:val="clear" w:color="auto" w:fill="FFFFFF"/>
        <w:spacing w:lineRule="auto" w:line="276" w:beforeAutospacing="0" w:before="0" w:afterAutospacing="0" w:after="0"/>
        <w:jc w:val="both"/>
        <w:rPr>
          <w:rFonts w:ascii="Calibri" w:hAnsi="Calibri"/>
          <w:b w:val="false"/>
          <w:i w:val="false"/>
          <w:caps w:val="false"/>
          <w:smallCaps w:val="false"/>
          <w:color w:val="0A0A0A"/>
          <w:spacing w:val="0"/>
          <w:sz w:val="22"/>
          <w:szCs w:val="22"/>
        </w:rPr>
      </w:pPr>
      <w:r>
        <w:rPr>
          <w:rFonts w:ascii="Calibri" w:hAnsi="Calibri"/>
          <w:b w:val="false"/>
          <w:i w:val="false"/>
          <w:caps w:val="false"/>
          <w:smallCaps w:val="false"/>
          <w:color w:val="0A0A0A"/>
          <w:spacing w:val="0"/>
          <w:sz w:val="22"/>
          <w:szCs w:val="22"/>
        </w:rPr>
        <w:t>W związku z obowiązywaniem Krajowego Systemu e-Faktur, zwanego dalej „KSeF”: 1) Strony zgodnie postanawiają, że od dnia wejścia w życie obowiązku wystawiania faktur ustrukturyzowanych za pośrednictwem KSeF”, wszelkie faktury dokumentujące transakcje realizowane na podstawie niniejszej Umowy będą wystawiane i doręczane w formie faktury ustrukturyzowanej w KSeF, zgodnie z przepisami ustawy o podatku od towarów i usług;</w:t>
      </w:r>
    </w:p>
    <w:p>
      <w:pPr>
        <w:pStyle w:val="Normal"/>
        <w:widowControl/>
        <w:numPr>
          <w:ilvl w:val="0"/>
          <w:numId w:val="0"/>
        </w:numPr>
        <w:suppressAutoHyphens w:val="true"/>
        <w:bidi w:val="0"/>
        <w:spacing w:lineRule="auto" w:line="276" w:before="0" w:after="0"/>
        <w:ind w:hanging="0" w:left="340" w:right="0"/>
        <w:jc w:val="left"/>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 xml:space="preserve"> </w:t>
      </w:r>
      <w:r>
        <w:rPr>
          <w:b w:val="false"/>
          <w:i w:val="false"/>
          <w:caps w:val="false"/>
          <w:smallCaps w:val="false"/>
          <w:color w:val="0A0A0A"/>
          <w:spacing w:val="0"/>
          <w:sz w:val="22"/>
          <w:szCs w:val="22"/>
        </w:rPr>
        <w:t>2) za datę doręczenia faktury ustrukturyzowanej uznaje się dzień jej udostępnienia w KSeF. Strony przyjmują, że data ta jest wiążąca dla ustalenia terminów płatności, o ile w fakturze nie wskazano inaczej;</w:t>
      </w:r>
    </w:p>
    <w:p>
      <w:pPr>
        <w:pStyle w:val="Normal"/>
        <w:widowControl/>
        <w:numPr>
          <w:ilvl w:val="0"/>
          <w:numId w:val="0"/>
        </w:numPr>
        <w:suppressAutoHyphens w:val="true"/>
        <w:bidi w:val="0"/>
        <w:spacing w:lineRule="auto" w:line="276" w:before="0" w:after="200"/>
        <w:ind w:hanging="0" w:left="340" w:right="0"/>
        <w:jc w:val="left"/>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3) 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pPr>
        <w:pStyle w:val="Normal"/>
        <w:widowControl/>
        <w:numPr>
          <w:ilvl w:val="0"/>
          <w:numId w:val="0"/>
        </w:numPr>
        <w:spacing w:before="0" w:after="0"/>
        <w:ind w:hanging="0" w:left="0" w:right="0"/>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4) każda ze Stron zobowiązana jest niezwłocznie poinformować drugą Stronę o wszelkich zmianach w zakresie danych wymaganych do prawidłowej obsługi faktur w KseF;</w:t>
      </w:r>
    </w:p>
    <w:p>
      <w:pPr>
        <w:pStyle w:val="Normal"/>
        <w:widowControl/>
        <w:numPr>
          <w:ilvl w:val="0"/>
          <w:numId w:val="0"/>
        </w:numPr>
        <w:spacing w:before="0" w:after="0"/>
        <w:ind w:hanging="0" w:left="0" w:right="0"/>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5) w przypadku niedostępności KSeF potwierdzonej oficjalnym komunikatem Ministerstwa Finansów, faktury mogą być wystawiane w formie przewidzianej przepisami prawa jako rozwiązanie awaryjne. Faktury wystawione w trybie awaryjnym podlegają przesłaniu do KSeF w pierwszym możliwym terminie zgodnym z obowiązującymi regulacjami. Strony zobowiązują się akceptować takie faktury, a ich skuteczność nie będzie kwestionowana z uwagi na czasowe ograniczenia techniczne KseF;</w:t>
      </w:r>
    </w:p>
    <w:p>
      <w:pPr>
        <w:pStyle w:val="Normal"/>
        <w:widowControl/>
        <w:numPr>
          <w:ilvl w:val="0"/>
          <w:numId w:val="0"/>
        </w:numPr>
        <w:spacing w:before="0" w:after="0"/>
        <w:ind w:hanging="0" w:left="0" w:right="0"/>
        <w:rPr>
          <w:rFonts w:ascii="Calibri" w:hAnsi="Calibri"/>
          <w:b w:val="false"/>
          <w:i w:val="false"/>
          <w:caps w:val="false"/>
          <w:smallCaps w:val="false"/>
          <w:color w:val="0A0A0A"/>
          <w:spacing w:val="0"/>
          <w:sz w:val="22"/>
          <w:szCs w:val="22"/>
        </w:rPr>
      </w:pPr>
      <w:r>
        <w:rPr>
          <w:b w:val="false"/>
          <w:i w:val="false"/>
          <w:caps w:val="false"/>
          <w:smallCaps w:val="false"/>
          <w:color w:val="0A0A0A"/>
          <w:spacing w:val="0"/>
          <w:sz w:val="22"/>
          <w:szCs w:val="22"/>
        </w:rPr>
        <w:t>6) w przypadku zmiany obowiązujących przepisów prawa dotyczących zasad wystawiania faktur w KSeF lub wprowadzenia dodatkowych wymagań technicznych, Strony zobowiązują się do niezwłocznego dostosowania procedur fakturowania do nowych wymogów;</w:t>
      </w:r>
    </w:p>
    <w:p>
      <w:pPr>
        <w:pStyle w:val="Normal"/>
        <w:widowControl/>
        <w:numPr>
          <w:ilvl w:val="0"/>
          <w:numId w:val="0"/>
        </w:numPr>
        <w:spacing w:before="0" w:after="29"/>
        <w:ind w:hanging="0" w:left="0" w:right="0"/>
        <w:rPr>
          <w:rFonts w:ascii="Calibri" w:hAnsi="Calibri"/>
          <w:b w:val="false"/>
          <w:i w:val="false"/>
          <w:caps w:val="false"/>
          <w:smallCaps w:val="false"/>
          <w:color w:val="0A0A0A"/>
          <w:spacing w:val="0"/>
          <w:sz w:val="22"/>
          <w:szCs w:val="22"/>
        </w:rPr>
      </w:pPr>
      <w:r>
        <w:rPr>
          <w:rFonts w:eastAsia="Times New Roman" w:cs="Calibri Light"/>
          <w:b w:val="false"/>
          <w:bCs w:val="false"/>
          <w:i w:val="false"/>
          <w:caps w:val="false"/>
          <w:smallCaps w:val="false"/>
          <w:color w:val="000000"/>
          <w:spacing w:val="0"/>
          <w:sz w:val="22"/>
          <w:szCs w:val="22"/>
          <w:shd w:fill="FFFFFF" w:val="clear"/>
        </w:rPr>
        <w:t>7) wszelkie zmiany w sposobie fakturowania wynikające wyłącznie ze zmiany przepisów nie wymagają aneksowania niniejszej Umowy.</w:t>
      </w:r>
    </w:p>
    <w:p>
      <w:pPr>
        <w:pStyle w:val="NormalWeb"/>
        <w:numPr>
          <w:ilvl w:val="0"/>
          <w:numId w:val="15"/>
        </w:numPr>
        <w:shd w:val="clear" w:color="auto" w:fill="FFFFFF"/>
        <w:spacing w:lineRule="auto" w:line="276" w:beforeAutospacing="0" w:before="0" w:afterAutospacing="0" w:after="0"/>
        <w:jc w:val="both"/>
        <w:rPr>
          <w:rFonts w:ascii="Calibri" w:hAnsi="Calibri"/>
          <w:sz w:val="22"/>
          <w:szCs w:val="22"/>
        </w:rPr>
      </w:pPr>
      <w:r>
        <w:rPr>
          <w:rFonts w:cs="" w:ascii="Calibri" w:hAnsi="Calibri" w:asciiTheme="minorHAnsi" w:cstheme="minorBidi" w:hAnsiTheme="minorHAnsi"/>
          <w:i/>
          <w:iCs/>
          <w:color w:val="EE0000"/>
          <w:sz w:val="22"/>
          <w:szCs w:val="22"/>
        </w:rPr>
        <w:t>Na podstawie art. 4c ustawy z dnia 8 marca 2013 r. o przeciwdziałaniu nadmiernym opóźnieniom w transakcjach handlowych Wykonawca oświadcza, że posiada status ...... przedsiębiorcy.</w:t>
      </w:r>
      <w:r>
        <w:rPr>
          <w:rStyle w:val="FootnoteReference"/>
          <w:rFonts w:cs="" w:ascii="Calibri" w:hAnsi="Calibri" w:asciiTheme="minorHAnsi" w:cstheme="minorBidi" w:hAnsiTheme="minorHAnsi"/>
          <w:i/>
          <w:iCs/>
          <w:color w:val="EE0000"/>
          <w:sz w:val="22"/>
          <w:szCs w:val="22"/>
        </w:rPr>
        <w:footnoteReference w:id="2"/>
      </w:r>
    </w:p>
    <w:p>
      <w:pPr>
        <w:pStyle w:val="NormalWeb"/>
        <w:shd w:val="clear" w:color="auto" w:fill="FFFFFF"/>
        <w:spacing w:lineRule="auto" w:line="276" w:beforeAutospacing="0" w:before="0" w:afterAutospacing="0" w:after="0"/>
        <w:ind w:left="360"/>
        <w:jc w:val="both"/>
        <w:rPr>
          <w:rFonts w:ascii="Calibri" w:hAnsi="Calibri" w:cs="Calibri" w:asciiTheme="minorHAnsi" w:cstheme="minorHAnsi" w:hAnsiTheme="minorHAnsi"/>
          <w:b/>
          <w:i/>
          <w:iCs/>
          <w:color w:val="auto"/>
          <w:sz w:val="22"/>
          <w:szCs w:val="22"/>
        </w:rPr>
      </w:pPr>
      <w:r>
        <w:rPr>
          <w:rFonts w:cs="Calibri" w:cstheme="minorHAnsi" w:ascii="Calibri" w:hAnsi="Calibri"/>
          <w:b/>
          <w:i/>
          <w:iCs/>
          <w:color w:val="auto"/>
          <w:sz w:val="22"/>
          <w:szCs w:val="22"/>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11</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6" w:name="_Hlk203754405"/>
      <w:r>
        <w:rPr>
          <w:rStyle w:val="Strong"/>
          <w:rFonts w:cs="Calibri" w:ascii="Calibri" w:hAnsi="Calibri" w:asciiTheme="minorHAnsi" w:cstheme="minorHAnsi" w:hAnsiTheme="minorHAnsi"/>
          <w:color w:val="auto"/>
          <w:sz w:val="22"/>
          <w:szCs w:val="22"/>
        </w:rPr>
        <w:t xml:space="preserve">KARY UMOWNE I ODPOWIEDZIALNOŚĆ </w:t>
      </w:r>
      <w:bookmarkEnd w:id="6"/>
    </w:p>
    <w:p>
      <w:pPr>
        <w:pStyle w:val="NormalWeb"/>
        <w:numPr>
          <w:ilvl w:val="0"/>
          <w:numId w:val="4"/>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Ilekroć w niniejszym paragrafie jest mowa o wynagrodzeniu, należy przez to rozumieć łączne wy</w:t>
      </w:r>
      <w:r>
        <w:rPr>
          <w:rFonts w:cs="Calibri" w:ascii="Calibri" w:hAnsi="Calibri" w:asciiTheme="minorHAnsi" w:cstheme="minorHAnsi" w:hAnsiTheme="minorHAnsi"/>
          <w:color w:val="auto"/>
          <w:sz w:val="22"/>
          <w:szCs w:val="22"/>
          <w:shd w:fill="FFFFFF" w:val="clear"/>
        </w:rPr>
        <w:t>nagrodzenie netto Wykonawcy za realizację Przedmiotu Umowy.</w:t>
      </w:r>
    </w:p>
    <w:p>
      <w:pPr>
        <w:pStyle w:val="NormalWeb"/>
        <w:numPr>
          <w:ilvl w:val="0"/>
          <w:numId w:val="4"/>
        </w:numPr>
        <w:shd w:val="clear" w:color="auto" w:fill="FFFFFF"/>
        <w:spacing w:lineRule="auto" w:line="276" w:beforeAutospacing="0" w:before="0" w:afterAutospacing="0" w:after="0"/>
        <w:ind w:hanging="425" w:left="426"/>
        <w:jc w:val="both"/>
        <w:rPr>
          <w:highlight w:val="none"/>
          <w:shd w:fill="FFFFFF" w:val="clear"/>
        </w:rPr>
      </w:pPr>
      <w:r>
        <w:rPr>
          <w:rFonts w:cs="Calibri" w:ascii="Calibri" w:hAnsi="Calibri" w:asciiTheme="minorHAnsi" w:cstheme="minorHAnsi" w:hAnsiTheme="minorHAnsi"/>
          <w:color w:val="auto"/>
          <w:sz w:val="22"/>
          <w:szCs w:val="22"/>
          <w:shd w:fill="FFFFFF" w:val="clear"/>
        </w:rPr>
        <w:t>Zamawiający ma prawo naliczenia kar umownych w przypadku:</w:t>
      </w:r>
    </w:p>
    <w:p>
      <w:pPr>
        <w:pStyle w:val="Normal"/>
        <w:numPr>
          <w:ilvl w:val="0"/>
          <w:numId w:val="25"/>
        </w:numPr>
        <w:spacing w:lineRule="auto" w:line="240"/>
        <w:ind w:hanging="360" w:left="720"/>
        <w:jc w:val="both"/>
        <w:rPr>
          <w:highlight w:val="none"/>
          <w:shd w:fill="FFFFFF" w:val="clear"/>
        </w:rPr>
      </w:pPr>
      <w:r>
        <w:rPr>
          <w:rFonts w:cs="Times New Roman"/>
          <w:i/>
          <w:iCs/>
          <w:color w:val="auto"/>
          <w:sz w:val="22"/>
          <w:szCs w:val="22"/>
          <w:shd w:fill="FFFFFF" w:val="clear"/>
        </w:rPr>
        <w:t>zwłoki Wykonawcy w wykonaniu Przedmiotu Umowy – w wysokości 0,01% wynagrodzenia częściowego należnego Wykonawcy za realizację zakresu, w ramach którego doszło do zwłoki, za każdy dzień zwłoki</w:t>
      </w:r>
    </w:p>
    <w:p>
      <w:pPr>
        <w:pStyle w:val="NormalWeb"/>
        <w:numPr>
          <w:ilvl w:val="0"/>
          <w:numId w:val="25"/>
        </w:numPr>
        <w:shd w:val="clear" w:color="auto" w:fill="FFFFFF"/>
        <w:spacing w:lineRule="auto" w:line="276" w:beforeAutospacing="0" w:before="0" w:afterAutospacing="0" w:after="0"/>
        <w:jc w:val="both"/>
        <w:rPr>
          <w:highlight w:val="none"/>
          <w:shd w:fill="FFFFFF" w:val="clear"/>
        </w:rPr>
      </w:pPr>
      <w:r>
        <w:rPr>
          <w:rFonts w:cs="Calibri" w:ascii="Calibri" w:hAnsi="Calibri" w:asciiTheme="minorHAnsi" w:cstheme="minorHAnsi" w:hAnsiTheme="minorHAnsi"/>
          <w:color w:val="auto"/>
          <w:sz w:val="22"/>
          <w:szCs w:val="22"/>
          <w:shd w:fill="FFFFFF" w:val="clear"/>
        </w:rPr>
        <w:t>zawinionego naruszenia przez Wykonawcę obowiązku zachowania poufności, o którym mowa w §13 – w wysokości 1000 zł za każdy przypadek naruszenia;</w:t>
      </w:r>
    </w:p>
    <w:p>
      <w:pPr>
        <w:pStyle w:val="Normal"/>
        <w:numPr>
          <w:ilvl w:val="0"/>
          <w:numId w:val="25"/>
        </w:numPr>
        <w:spacing w:lineRule="auto" w:line="240"/>
        <w:ind w:hanging="360" w:left="720"/>
        <w:jc w:val="both"/>
        <w:rPr>
          <w:highlight w:val="none"/>
          <w:shd w:fill="FFFFFF" w:val="clear"/>
        </w:rPr>
      </w:pPr>
      <w:r>
        <w:rPr>
          <w:rFonts w:cs="Times New Roman"/>
          <w:i/>
          <w:iCs/>
          <w:color w:val="auto"/>
          <w:sz w:val="22"/>
          <w:szCs w:val="22"/>
          <w:shd w:fill="FFFFFF" w:val="clear"/>
        </w:rPr>
        <w:t>odstąpienia od Umowy przez Zamawiającego z wyłącznej winy Wykonawcy– w wysokości 10% wynagrodzenia częściowego należnego Wykonawcy za realizację zakresu, którego dotyczą okoliczności stanowiące podstawę odstąpienia od Umowy</w:t>
      </w:r>
    </w:p>
    <w:p>
      <w:pPr>
        <w:pStyle w:val="NormalWeb"/>
        <w:numPr>
          <w:ilvl w:val="0"/>
          <w:numId w:val="4"/>
        </w:numPr>
        <w:shd w:val="clear" w:color="auto" w:fill="FFFFFF"/>
        <w:spacing w:lineRule="auto" w:line="276" w:beforeAutospacing="0" w:before="0" w:afterAutospacing="0" w:after="0"/>
        <w:ind w:hanging="425" w:left="426"/>
        <w:jc w:val="both"/>
        <w:rPr>
          <w:highlight w:val="none"/>
          <w:shd w:fill="FFFFFF" w:val="clear"/>
        </w:rPr>
      </w:pPr>
      <w:r>
        <w:rPr>
          <w:rFonts w:cs="Calibri" w:ascii="Calibri" w:hAnsi="Calibri" w:asciiTheme="minorHAnsi" w:cstheme="minorHAnsi" w:hAnsiTheme="minorHAnsi"/>
          <w:color w:val="auto"/>
          <w:sz w:val="22"/>
          <w:szCs w:val="22"/>
          <w:shd w:fill="FFFFFF" w:val="clear"/>
        </w:rPr>
        <w:t>Łączna maksymalna wysokość kar umownych, której może dochodzić Zamawiający od Wykonawcy, jest ograniczona do wysokości 20% kwoty wynagrodzenia.</w:t>
      </w:r>
    </w:p>
    <w:p>
      <w:pPr>
        <w:pStyle w:val="NormalWeb"/>
        <w:numPr>
          <w:ilvl w:val="0"/>
          <w:numId w:val="4"/>
        </w:numPr>
        <w:shd w:val="clear" w:color="auto" w:fill="FFFFFF" w:themeFill="background1"/>
        <w:spacing w:lineRule="auto" w:line="276" w:beforeAutospacing="0" w:before="0" w:afterAutospacing="0" w:after="0"/>
        <w:ind w:hanging="425" w:left="426"/>
        <w:jc w:val="both"/>
        <w:rPr>
          <w:highlight w:val="none"/>
          <w:shd w:fill="FFFFFF" w:val="clear"/>
        </w:rPr>
      </w:pPr>
      <w:r>
        <w:rPr>
          <w:rFonts w:cs="Calibri" w:ascii="Calibri" w:hAnsi="Calibri" w:asciiTheme="minorHAnsi" w:cstheme="minorHAnsi" w:hAnsiTheme="minorHAnsi"/>
          <w:color w:val="auto"/>
          <w:sz w:val="22"/>
          <w:szCs w:val="22"/>
          <w:shd w:fill="FFFFFF" w:val="clear"/>
        </w:rPr>
        <w:t xml:space="preserve">Naliczenie kar umownych nie pozbawia Zamawiającego prawa do dochodzenia odszkodowania uzupełniającego na zasadach ogólnych. </w:t>
      </w:r>
      <w:r>
        <w:rPr>
          <w:rFonts w:cs="" w:ascii="Calibri" w:hAnsi="Calibri" w:asciiTheme="minorHAnsi" w:cstheme="minorBidi" w:hAnsiTheme="minorHAnsi"/>
          <w:color w:val="auto"/>
          <w:sz w:val="22"/>
          <w:szCs w:val="22"/>
          <w:shd w:fill="FFFFFF" w:val="clear"/>
        </w:rPr>
        <w:t>Strony zgodnie postanawiają, że całkowita odpowiedzialność odszkodowawcza Wykonawcy wynikająca z niewykonania lub nienależytego wykonania Umowy ograniczona jest do wysokości 50% wynagrodzenia i z wyłączeniem utraconych korzyści. Powyższe ograniczenie nie dotyczy szkód spowodowanych przez Wykonawcę umyślnie.</w:t>
      </w:r>
    </w:p>
    <w:p>
      <w:pPr>
        <w:pStyle w:val="NormalWeb"/>
        <w:numPr>
          <w:ilvl w:val="0"/>
          <w:numId w:val="4"/>
        </w:numPr>
        <w:shd w:val="clear" w:color="auto" w:fill="FFFFFF"/>
        <w:spacing w:lineRule="auto" w:line="276" w:beforeAutospacing="0" w:before="0" w:afterAutospacing="0" w:after="0"/>
        <w:ind w:hanging="425" w:left="426"/>
        <w:jc w:val="both"/>
        <w:rPr>
          <w:highlight w:val="none"/>
          <w:shd w:fill="FFFFFF" w:val="clear"/>
        </w:rPr>
      </w:pPr>
      <w:r>
        <w:rPr>
          <w:rFonts w:cs="Calibri" w:ascii="Calibri" w:hAnsi="Calibri" w:asciiTheme="minorHAnsi" w:cstheme="minorHAnsi" w:hAnsiTheme="minorHAnsi"/>
          <w:color w:val="auto"/>
          <w:sz w:val="22"/>
          <w:szCs w:val="22"/>
          <w:shd w:fill="FFFFFF" w:val="clear"/>
        </w:rPr>
        <w:t>Przed naliczeniem kary umownej Zamawiający poinformuje Wykonawcę o zamiarze naliczenia kary, celem umożliwienia Wykonawcy przedstawienia stanowiska w zakresie zasadności kary, w terminie wyznaczonym przez Zamawiającego.</w:t>
      </w:r>
    </w:p>
    <w:p>
      <w:pPr>
        <w:pStyle w:val="NormalWeb"/>
        <w:numPr>
          <w:ilvl w:val="0"/>
          <w:numId w:val="4"/>
        </w:numPr>
        <w:shd w:val="clear" w:color="auto" w:fill="FFFFFF" w:themeFill="background1"/>
        <w:spacing w:lineRule="auto" w:line="276" w:beforeAutospacing="0" w:before="0" w:afterAutospacing="0" w:after="0"/>
        <w:ind w:hanging="425" w:left="426"/>
        <w:jc w:val="both"/>
        <w:rPr>
          <w:highlight w:val="none"/>
          <w:shd w:fill="FFFFFF" w:val="clear"/>
        </w:rPr>
      </w:pPr>
      <w:r>
        <w:rPr>
          <w:rFonts w:cs="" w:ascii="Calibri" w:hAnsi="Calibri" w:cstheme="minorBidi"/>
          <w:color w:val="auto"/>
          <w:sz w:val="22"/>
          <w:szCs w:val="22"/>
          <w:shd w:fill="FFFFFF" w:val="clear"/>
        </w:rPr>
        <w:t>Wykonawca pozostaje odpowiedzialny za działania i zaniechania podwykonawców jak za swoje własne działania lub zaniechania.</w:t>
      </w:r>
    </w:p>
    <w:p>
      <w:pPr>
        <w:pStyle w:val="Normal"/>
        <w:numPr>
          <w:ilvl w:val="0"/>
          <w:numId w:val="4"/>
        </w:numPr>
        <w:spacing w:lineRule="auto" w:line="240" w:before="0" w:after="29"/>
        <w:ind w:hanging="425" w:left="426"/>
        <w:jc w:val="both"/>
        <w:rPr>
          <w:highlight w:val="none"/>
          <w:shd w:fill="FFFFFF" w:val="clear"/>
        </w:rPr>
      </w:pPr>
      <w:r>
        <w:rPr>
          <w:rFonts w:cs="Times New Roman"/>
          <w:i w:val="false"/>
          <w:iCs w:val="false"/>
          <w:sz w:val="22"/>
          <w:szCs w:val="22"/>
          <w:shd w:fill="FFFFFF" w:val="clear"/>
        </w:rPr>
        <w:t xml:space="preserve">Naliczenie kar umownych, o których mowa w ust. 2 może rozpocząć się w terminie do 90 dni od daty zaistnienia przyczyn, stanowiących podstawę ich naliczenia. Po upływie tego terminu prawo do </w:t>
      </w:r>
      <w:r>
        <w:rPr>
          <w:rFonts w:cs="Times New Roman"/>
          <w:i w:val="false"/>
          <w:iCs w:val="false"/>
          <w:sz w:val="22"/>
          <w:szCs w:val="22"/>
          <w:shd w:fill="FFFFFF" w:val="clear"/>
        </w:rPr>
        <w:t>naliczenia kary, w oparciu o przyczyny stanowiące podstawę ich naliczenia, wygasa.</w:t>
      </w:r>
    </w:p>
    <w:p>
      <w:pPr>
        <w:pStyle w:val="ListParagraph"/>
        <w:numPr>
          <w:ilvl w:val="0"/>
          <w:numId w:val="4"/>
        </w:numPr>
        <w:spacing w:lineRule="auto" w:line="276"/>
        <w:ind w:hanging="425" w:left="426"/>
        <w:jc w:val="both"/>
        <w:rPr>
          <w:rFonts w:ascii="Calibri" w:hAnsi="Calibri"/>
          <w:sz w:val="22"/>
          <w:szCs w:val="22"/>
          <w:highlight w:val="none"/>
          <w:shd w:fill="FFFFFF" w:val="clear"/>
        </w:rPr>
      </w:pPr>
      <w:r>
        <w:rPr>
          <w:i/>
          <w:iCs/>
          <w:sz w:val="22"/>
          <w:szCs w:val="22"/>
          <w:shd w:fill="FFFFFF" w:val="clear"/>
        </w:rPr>
        <w:t>W przypadku zbiegu podstaw do naliczenia kar umownych możliwych do naliczenia na podstawie tożsamych okoliczności Zamawiający jest uprawiony do dochodzenia jednej wybranej przez siebie kary z tytułu tych samych okoliczności (zakaz podwójnego naliczania kary umownej za to samo zdarzenie).</w:t>
      </w:r>
    </w:p>
    <w:p>
      <w:pPr>
        <w:pStyle w:val="NormalWeb"/>
        <w:keepNext w:val="true"/>
        <w:shd w:val="clear" w:color="auto" w:fill="FFFFFF"/>
        <w:spacing w:lineRule="auto" w:line="276" w:beforeAutospacing="0" w:before="0" w:afterAutospacing="0" w:after="0"/>
        <w:ind w:hanging="425"/>
        <w:jc w:val="center"/>
        <w:rPr/>
      </w:pPr>
      <w:r>
        <w:rPr>
          <w:rStyle w:val="Strong"/>
          <w:rFonts w:cs="Calibri" w:ascii="Calibri" w:hAnsi="Calibri" w:asciiTheme="minorHAnsi" w:cstheme="minorHAnsi" w:hAnsiTheme="minorHAnsi"/>
          <w:color w:val="auto"/>
          <w:sz w:val="22"/>
          <w:szCs w:val="22"/>
          <w:shd w:fill="FFFFFF" w:val="clear"/>
        </w:rPr>
        <w:t>§ 12</w:t>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bookmarkStart w:id="7" w:name="_Hlk203754421"/>
      <w:r>
        <w:rPr>
          <w:rStyle w:val="Strong"/>
          <w:rFonts w:cs="Calibri" w:ascii="Calibri" w:hAnsi="Calibri" w:asciiTheme="minorHAnsi" w:cstheme="minorHAnsi" w:hAnsiTheme="minorHAnsi"/>
          <w:color w:val="auto"/>
          <w:sz w:val="22"/>
          <w:szCs w:val="22"/>
        </w:rPr>
        <w:t xml:space="preserve">SIŁA WYŻSZA </w:t>
      </w:r>
      <w:bookmarkEnd w:id="7"/>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Jeżeli siła wyższa będzie trwała nieprzerwanie przez okres 90 dni lub dłużej, Strony mogą w drodze wzajemnego uzgodnienia rozwiązać Umowę, bez nakładania na żadną ze Stron dalszych zobowiązań, oprócz płatności należnych z tytułu wykonanych usług.</w:t>
      </w:r>
    </w:p>
    <w:p>
      <w:pPr>
        <w:pStyle w:val="NormalWeb"/>
        <w:numPr>
          <w:ilvl w:val="0"/>
          <w:numId w:val="15"/>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Okres występowania siły wyższej powoduje odpowiednie przesunięcie terminów realizacji usług określonych w Umowie.</w:t>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13</w:t>
      </w:r>
    </w:p>
    <w:p>
      <w:pPr>
        <w:pStyle w:val="NormalWeb"/>
        <w:keepNext w:val="true"/>
        <w:shd w:val="clear" w:color="auto" w:fill="FFFFFF"/>
        <w:spacing w:lineRule="auto" w:line="276" w:beforeAutospacing="0" w:before="0" w:afterAutospacing="0" w:after="0"/>
        <w:ind w:hanging="425"/>
        <w:jc w:val="center"/>
        <w:rPr>
          <w:rStyle w:val="Strong"/>
          <w:rFonts w:ascii="Calibri" w:hAnsi="Calibri" w:cs="Calibri" w:asciiTheme="minorHAnsi" w:cstheme="minorHAnsi" w:hAnsiTheme="minorHAnsi"/>
          <w:color w:val="auto"/>
          <w:sz w:val="22"/>
          <w:szCs w:val="22"/>
        </w:rPr>
      </w:pPr>
      <w:bookmarkStart w:id="8" w:name="_Hlk203754426"/>
      <w:r>
        <w:rPr>
          <w:rStyle w:val="Strong"/>
          <w:rFonts w:cs="Calibri" w:ascii="Calibri" w:hAnsi="Calibri" w:asciiTheme="minorHAnsi" w:cstheme="minorHAnsi" w:hAnsiTheme="minorHAnsi"/>
          <w:color w:val="auto"/>
          <w:sz w:val="22"/>
          <w:szCs w:val="22"/>
        </w:rPr>
        <w:t>POUFNOŚĆ</w:t>
      </w:r>
      <w:bookmarkEnd w:id="8"/>
    </w:p>
    <w:p>
      <w:pPr>
        <w:pStyle w:val="NormalWeb"/>
        <w:keepNext w:val="true"/>
        <w:numPr>
          <w:ilvl w:val="0"/>
          <w:numId w:val="5"/>
        </w:numPr>
        <w:shd w:val="clear" w:color="auto" w:fill="FFFFFF" w:themeFill="background1"/>
        <w:spacing w:lineRule="auto" w:line="276" w:beforeAutospacing="0" w:before="0" w:afterAutospacing="0" w:after="0"/>
        <w:ind w:hanging="425" w:left="426"/>
        <w:jc w:val="both"/>
        <w:rPr>
          <w:rFonts w:ascii="Calibri" w:hAnsi="Calibri" w:cs="" w:asciiTheme="minorHAnsi" w:cstheme="minorBidi" w:hAnsiTheme="minorHAnsi"/>
          <w:b/>
          <w:bCs/>
          <w:color w:val="auto"/>
          <w:sz w:val="22"/>
          <w:szCs w:val="22"/>
        </w:rPr>
      </w:pPr>
      <w:r>
        <w:rPr>
          <w:rFonts w:cs="" w:ascii="Calibri" w:hAnsi="Calibri" w:asciiTheme="minorHAnsi" w:cstheme="minorBidi" w:hAnsiTheme="minorHAnsi"/>
          <w:color w:val="auto"/>
          <w:sz w:val="22"/>
          <w:szCs w:val="22"/>
        </w:rPr>
        <w:t>Strony zobowiązują się do utrzymania w tajemnicy i nieujawniania, niepublikowania, nieprzekazywania i nieudostępniania w żaden inny sposób osobom trzecim, jakichkolwiek:</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informacji i danych dotyczących podejmowanych przez jedną ze Stron czynności w toku realizacji Umowy;</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oferowanych cen, stosowanych marż, posiadanych upustów lub warunków handlowych- skalkulowanych indywidualnie i dedykowanych Zamawiającemu;</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informacji i danych stanowiących tajemnicę Stron w rozumieniu przepisów ustawy o zwalczaniu nieuczciwej konkurencji;</w:t>
      </w:r>
    </w:p>
    <w:p>
      <w:pPr>
        <w:pStyle w:val="NormalWeb"/>
        <w:numPr>
          <w:ilvl w:val="0"/>
          <w:numId w:val="16"/>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innych informacji prawnie chronionych;</w:t>
      </w:r>
    </w:p>
    <w:p>
      <w:pPr>
        <w:pStyle w:val="NormalWeb"/>
        <w:shd w:val="clear" w:color="auto" w:fill="FFFFFF"/>
        <w:spacing w:lineRule="auto" w:line="276" w:beforeAutospacing="0" w:before="0" w:afterAutospacing="0" w:after="0"/>
        <w:ind w:lef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które to informacje uzyskają w trakcie lub w związku z realizacją Umowy, bez względu na sposób i formę ich utrwalenia lub przekazania, w szczególności w formie pisemnej, kserokopii, wiadomości e-mail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pPr>
        <w:pStyle w:val="NormalWeb"/>
        <w:numPr>
          <w:ilvl w:val="0"/>
          <w:numId w:val="5"/>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Każdej ze Stron wolno ujawnić informacje poufne z ograniczeniami wynikającymi z przepisów prawa, o 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Umowie.</w:t>
      </w:r>
    </w:p>
    <w:p>
      <w:pPr>
        <w:pStyle w:val="NormalWeb"/>
        <w:numPr>
          <w:ilvl w:val="0"/>
          <w:numId w:val="5"/>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Wykonawca zobowiąże pisemnie pracowników wyznaczonych do realizacji Przedmiotu Umowy do zachowania tajemnicy. </w:t>
      </w:r>
    </w:p>
    <w:p>
      <w:pPr>
        <w:pStyle w:val="NormalWeb"/>
        <w:numPr>
          <w:ilvl w:val="0"/>
          <w:numId w:val="5"/>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Zamawiający zobowiązuje się do zapewnienia poufności udostępnionej dokumentacji technicznej Oprogramowania Aplikacyjnego.</w:t>
      </w:r>
    </w:p>
    <w:p>
      <w:pPr>
        <w:pStyle w:val="NormalWeb"/>
        <w:numPr>
          <w:ilvl w:val="0"/>
          <w:numId w:val="5"/>
        </w:numPr>
        <w:shd w:val="clear" w:color="auto" w:fill="FFFFFF" w:themeFill="background1"/>
        <w:spacing w:lineRule="auto" w:line="276" w:beforeAutospacing="0" w:before="0" w:afterAutospacing="0" w:after="0"/>
        <w:ind w:hanging="425" w:left="425"/>
        <w:jc w:val="both"/>
        <w:rPr>
          <w:rFonts w:ascii="Calibri" w:hAnsi="Calibri" w:cs="" w:asciiTheme="minorHAnsi" w:cstheme="minorBidi" w:hAnsiTheme="minorHAnsi"/>
          <w:b/>
          <w:bCs/>
          <w:color w:val="auto"/>
          <w:sz w:val="22"/>
          <w:szCs w:val="22"/>
        </w:rPr>
      </w:pPr>
      <w:r>
        <w:rPr>
          <w:rFonts w:cs="" w:ascii="Calibri" w:hAnsi="Calibri" w:asciiTheme="minorHAnsi" w:cstheme="minorBidi" w:hAnsiTheme="minorHAnsi"/>
          <w:color w:val="auto"/>
          <w:sz w:val="22"/>
          <w:szCs w:val="22"/>
        </w:rPr>
        <w:t>Strony Umowy mają prawo do wykorzystania informacji o fakcie zawarcia i realizacji Umowy oraz wskazania ogólnego przedmiotu i Stron Umowy dla celów referencyjnych i marketingowych, w tym podania tych informacji do wiadomości publicznej, pod warunkiem nieujawniania szczegółów handlowych oraz technicznych.</w:t>
      </w:r>
    </w:p>
    <w:p>
      <w:pPr>
        <w:pStyle w:val="NormalWeb"/>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cstheme="minorHAnsi" w:ascii="Calibri" w:hAnsi="Calibri"/>
          <w:b/>
          <w:color w:val="auto"/>
          <w:sz w:val="22"/>
          <w:szCs w:val="22"/>
        </w:rPr>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14</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EE0000"/>
          <w:sz w:val="22"/>
          <w:szCs w:val="22"/>
        </w:rPr>
      </w:pPr>
      <w:bookmarkStart w:id="9" w:name="_Hlk203754437"/>
      <w:r>
        <w:rPr>
          <w:rStyle w:val="Strong"/>
          <w:rFonts w:cs="Calibri" w:ascii="Calibri" w:hAnsi="Calibri" w:asciiTheme="minorHAnsi" w:cstheme="minorHAnsi" w:hAnsiTheme="minorHAnsi"/>
          <w:color w:val="auto"/>
          <w:sz w:val="22"/>
          <w:szCs w:val="22"/>
        </w:rPr>
        <w:t>ZMIANA UMOWY</w:t>
      </w:r>
      <w:bookmarkEnd w:id="9"/>
    </w:p>
    <w:p>
      <w:pPr>
        <w:pStyle w:val="NormalWeb"/>
        <w:keepNext w:val="true"/>
        <w:numPr>
          <w:ilvl w:val="0"/>
          <w:numId w:val="3"/>
        </w:numPr>
        <w:shd w:val="clear" w:color="auto" w:fill="FFFFFF" w:themeFill="background1"/>
        <w:spacing w:lineRule="auto" w:line="276" w:beforeAutospacing="0" w:before="0" w:afterAutospacing="0" w:after="0"/>
        <w:ind w:hanging="425" w:left="425"/>
        <w:jc w:val="both"/>
        <w:rPr>
          <w:rFonts w:ascii="Calibri" w:hAnsi="Calibri" w:cs="" w:asciiTheme="minorHAnsi" w:cstheme="minorBidi" w:hAnsiTheme="minorHAnsi"/>
          <w:b/>
          <w:bCs/>
          <w:color w:val="auto"/>
          <w:sz w:val="22"/>
          <w:szCs w:val="22"/>
        </w:rPr>
      </w:pPr>
      <w:r>
        <w:rPr>
          <w:rFonts w:cs="" w:ascii="Calibri" w:hAnsi="Calibri" w:asciiTheme="minorHAnsi" w:cstheme="minorBidi" w:hAnsiTheme="minorHAnsi"/>
          <w:color w:val="auto"/>
          <w:sz w:val="22"/>
          <w:szCs w:val="22"/>
        </w:rPr>
        <w:t>Zmiana Umowy wymaga formy pisemnej pod rygorem nieważności, za wyjątkiem zmian, dla których w treści Umowy postanowiono inaczej.</w:t>
      </w:r>
    </w:p>
    <w:p>
      <w:pPr>
        <w:pStyle w:val="NormalWeb"/>
        <w:numPr>
          <w:ilvl w:val="0"/>
          <w:numId w:val="8"/>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przewidują możliwość wprowadzenia do Umowy zmian w zakresie wysokości wynagrodzenia Wykonawcy lub zakresu Przedmiotu Umowy w razie zaistnienia sytuacji opisanych poniżej:</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przypadku wystąpienia siły wyższej,</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przypadku zmiany przepisów prawa, opublikowanej w Dzienniku Urzędowym Unii Europejskiej, Dzienniku Ustaw, Monitorze Polskim lub Dzienniku Urzędowym odpowiedniego ministra, jeśli te zmiany będą miały istotny wpływ na zakres Przedmiotu Umowy lub sposób jego realizacji - zmiany są możliwe tylko w zakresie wymuszonym takimi zmianami prawa i jednocześnie nie mogą prowadzić do zwiększenia łącznego wynagrodzenia przysługującego Wykonawcy o więcej niż 30% łącznego wynagrodzenia, przy czym wskazane ograniczenie procentowe nie dotyczy zmian, o których mowa w ust. 2 i 3;</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przypadku uzasadnionej przyczynami technicznymi lub organizacyjnymi, konieczności zmiany:</w:t>
      </w:r>
    </w:p>
    <w:p>
      <w:pPr>
        <w:pStyle w:val="NormalWeb"/>
        <w:numPr>
          <w:ilvl w:val="1"/>
          <w:numId w:val="18"/>
        </w:numPr>
        <w:shd w:val="clear" w:color="auto" w:fill="FFFFFF"/>
        <w:spacing w:lineRule="auto" w:line="276" w:beforeAutospacing="0" w:before="0" w:afterAutospacing="0" w:after="0"/>
        <w:ind w:hanging="284" w:left="993"/>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sposobu wykonania Umowy w obszarach: organizacyjnym lub przyjętych metod i kanałów komunikacji,</w:t>
      </w:r>
    </w:p>
    <w:p>
      <w:pPr>
        <w:pStyle w:val="NormalWeb"/>
        <w:numPr>
          <w:ilvl w:val="1"/>
          <w:numId w:val="18"/>
        </w:numPr>
        <w:shd w:val="clear" w:color="auto" w:fill="FFFFFF"/>
        <w:spacing w:lineRule="auto" w:line="276" w:beforeAutospacing="0" w:before="0" w:afterAutospacing="0" w:after="0"/>
        <w:ind w:hanging="284" w:left="993"/>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sposobu realizacji przedmiotu Umowy, spowodowanej brakiem dostępu do Infrastruktury Zamawiającego z przyczyn niezależnych od Wykonawcy, na której powinno być zainstalowane Oprogramowanie,</w:t>
      </w:r>
    </w:p>
    <w:p>
      <w:pPr>
        <w:pStyle w:val="NormalWeb"/>
        <w:numPr>
          <w:ilvl w:val="0"/>
          <w:numId w:val="17"/>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jeśli zmiany są korzystne dla Zamawiającego, w szczególności gdy Wykonawca rozszerzy zakres Przedmiotu Umowy bez zwiększenia wynagrodzenia lub obniży wynagrodzenie bez zmniejszenia zakresu Przedmiotu Umowy.</w:t>
      </w:r>
    </w:p>
    <w:p>
      <w:pPr>
        <w:pStyle w:val="NormalWeb"/>
        <w:numPr>
          <w:ilvl w:val="0"/>
          <w:numId w:val="8"/>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Strony postanawiają, że w przypadku zmiany stawki podatku od towarów i usług lub podatku akcyzowego – wynagrodzenie przewidziane Umową ulegnie zmianie odpowiedniej do zmiany wysokości podatku od towarów i usług (ulegnie korekcie o wysokość zmiany podatku VAT), lub podatku akcyzowego, przy czym powyższa zmiana będzie miała zastosowanie wyłącznie w odniesieniu do części wynagrodzenia objętego fakturami wystawionymi po dacie wejścia w życie zmiany przepisów prawa wprowadzających nowe stawki podatku od towarów i usług lub podatku akcyzowego. W przypadku zaistnienia zmiany wartość wynagrodzenia netto nie zmieni się, a wartość wynagrodzenia brutto zostanie wyliczona na podstawie nowych przepisów. Powyższa zmiana nie wymaga aneksowania Umowy.</w:t>
      </w:r>
    </w:p>
    <w:p>
      <w:pPr>
        <w:pStyle w:val="NormalWeb"/>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15</w:t>
      </w:r>
    </w:p>
    <w:p>
      <w:pPr>
        <w:pStyle w:val="NormalWeb"/>
        <w:shd w:val="clear" w:color="auto" w:fill="FFFFFF" w:themeFill="background1"/>
        <w:spacing w:lineRule="auto" w:line="276" w:beforeAutospacing="0" w:before="0" w:afterAutospacing="0" w:after="0"/>
        <w:ind w:hanging="426"/>
        <w:jc w:val="center"/>
        <w:rPr>
          <w:rStyle w:val="Strong"/>
          <w:rFonts w:ascii="Calibri" w:hAnsi="Calibri" w:cs="" w:asciiTheme="minorHAnsi" w:cstheme="minorBidi" w:hAnsiTheme="minorHAnsi"/>
          <w:color w:val="auto"/>
          <w:sz w:val="22"/>
          <w:szCs w:val="22"/>
        </w:rPr>
      </w:pPr>
      <w:bookmarkStart w:id="10" w:name="_Hlk203754448"/>
      <w:r>
        <w:rPr>
          <w:rStyle w:val="Strong"/>
          <w:rFonts w:cs="" w:ascii="Calibri" w:hAnsi="Calibri" w:asciiTheme="minorHAnsi" w:cstheme="minorBidi" w:hAnsiTheme="minorHAnsi"/>
          <w:color w:val="auto"/>
          <w:sz w:val="22"/>
          <w:szCs w:val="22"/>
        </w:rPr>
        <w:t>ODSTĄPIENIE OD UMOWY</w:t>
      </w:r>
      <w:bookmarkEnd w:id="10"/>
    </w:p>
    <w:p>
      <w:pPr>
        <w:pStyle w:val="NormalWeb"/>
        <w:numPr>
          <w:ilvl w:val="3"/>
          <w:numId w:val="19"/>
        </w:numPr>
        <w:shd w:val="clear" w:color="auto" w:fill="FFFFFF" w:themeFill="background1"/>
        <w:spacing w:lineRule="auto" w:line="276" w:beforeAutospacing="0" w:before="0" w:afterAutospacing="0" w:after="0"/>
        <w:ind w:hanging="360" w:left="426"/>
        <w:jc w:val="both"/>
        <w:rPr>
          <w:rFonts w:ascii="Calibri" w:hAnsi="Calibri" w:cs="" w:asciiTheme="minorHAnsi" w:cstheme="minorBidi" w:hAnsiTheme="minorHAnsi"/>
          <w:color w:val="auto"/>
          <w:sz w:val="22"/>
          <w:szCs w:val="22"/>
        </w:rPr>
      </w:pPr>
      <w:r>
        <w:rPr>
          <w:rFonts w:cs="Calibri" w:ascii="Calibri" w:hAnsi="Calibri" w:asciiTheme="minorHAnsi" w:cstheme="minorHAnsi" w:hAnsiTheme="minorHAnsi"/>
          <w:color w:val="auto"/>
          <w:sz w:val="22"/>
          <w:szCs w:val="22"/>
        </w:rPr>
        <w:t xml:space="preserve">Zamawiający może odstąpić od Umowy w całości lub w części w razie </w:t>
      </w:r>
      <w:r>
        <w:rPr>
          <w:rFonts w:cs="" w:ascii="Calibri" w:hAnsi="Calibri" w:asciiTheme="minorHAnsi" w:cstheme="minorBidi" w:hAnsiTheme="minorHAnsi"/>
          <w:color w:val="auto"/>
          <w:sz w:val="22"/>
          <w:szCs w:val="22"/>
        </w:rPr>
        <w:t>zwłoki Wykonawcy w wykonaniu Przedmiotu Umowy po uprzednim wezwaniu Wykonawcy do wykonania Przedmiotu Umowy w wyznaczonym terminie, nie krótszym niż 7 dni.</w:t>
      </w:r>
    </w:p>
    <w:p>
      <w:pPr>
        <w:pStyle w:val="NormalWeb"/>
        <w:numPr>
          <w:ilvl w:val="3"/>
          <w:numId w:val="19"/>
        </w:numPr>
        <w:shd w:val="clear" w:color="auto" w:fill="FFFFFF" w:themeFill="background1"/>
        <w:spacing w:lineRule="auto" w:line="276" w:beforeAutospacing="0" w:before="0" w:afterAutospacing="0" w:after="0"/>
        <w:ind w:hanging="360" w:left="426"/>
        <w:jc w:val="both"/>
        <w:rPr>
          <w:rFonts w:ascii="Calibri" w:hAnsi="Calibri" w:cs="" w:asciiTheme="minorHAnsi" w:cstheme="minorBidi" w:hAnsiTheme="minorHAnsi"/>
          <w:color w:val="auto"/>
          <w:sz w:val="22"/>
          <w:szCs w:val="22"/>
        </w:rPr>
      </w:pPr>
      <w:r>
        <w:rPr>
          <w:rFonts w:cs="" w:ascii="Calibri" w:hAnsi="Calibri" w:asciiTheme="minorHAnsi" w:cstheme="minorBidi" w:hAnsiTheme="minorHAnsi"/>
          <w:color w:val="auto"/>
          <w:sz w:val="22"/>
          <w:szCs w:val="22"/>
        </w:rPr>
        <w:t xml:space="preserve">Wykonawca może odstąpić od Umowy w całości lub w części w razie opóźnienia Zamawiającego w zapłacie wynagrodzenia Wykonawcy, jeżeli opóźnienie to przekracza 30 dni, a po upływie tego terminu Wykonawca wyznaczył Zamawiającemu na piśmie (pod rygorem nieważności) dodatkowy, nie krótszy jednak niż 14 dni termin na dokonanie płatności wynagrodzenia, który to termin nie został przez Zamawiającego dotrzymany.   </w:t>
      </w:r>
    </w:p>
    <w:p>
      <w:pPr>
        <w:pStyle w:val="NormalWeb"/>
        <w:numPr>
          <w:ilvl w:val="3"/>
          <w:numId w:val="19"/>
        </w:numPr>
        <w:shd w:val="clear" w:color="auto" w:fill="FFFFFF" w:themeFill="background1"/>
        <w:spacing w:lineRule="auto" w:line="276" w:beforeAutospacing="0" w:before="0" w:afterAutospacing="0" w:after="0"/>
        <w:ind w:hanging="360" w:left="426"/>
        <w:jc w:val="both"/>
        <w:rPr>
          <w:rFonts w:ascii="Calibri" w:hAnsi="Calibri" w:cs="" w:asciiTheme="minorHAnsi" w:cstheme="minorBidi" w:hAnsiTheme="minorHAnsi"/>
          <w:b/>
          <w:bCs/>
          <w:color w:val="auto"/>
          <w:sz w:val="22"/>
          <w:szCs w:val="22"/>
        </w:rPr>
      </w:pPr>
      <w:r>
        <w:rPr>
          <w:rFonts w:cs="" w:ascii="Calibri" w:hAnsi="Calibri" w:asciiTheme="minorHAnsi" w:cstheme="minorBidi" w:hAnsiTheme="minorHAnsi"/>
          <w:color w:val="auto"/>
          <w:sz w:val="22"/>
          <w:szCs w:val="22"/>
        </w:rPr>
        <w:t xml:space="preserve">Odstąpienie od Umowy może nastąpić w terminie 30 dni od dnia zaistnienia okoliczności stanowiącej podstawę do odstąpienia. Odstąpienie powinno być dokonane na piśmie i zawierać uzasadnienie. </w:t>
      </w:r>
    </w:p>
    <w:p>
      <w:pPr>
        <w:pStyle w:val="NormalWeb"/>
        <w:shd w:val="clear" w:color="auto" w:fill="FFFFFF"/>
        <w:spacing w:lineRule="auto" w:line="276" w:beforeAutospacing="0" w:before="0" w:afterAutospacing="0" w:after="0"/>
        <w:ind w:left="426"/>
        <w:jc w:val="both"/>
        <w:rPr>
          <w:rFonts w:ascii="Calibri" w:hAnsi="Calibri" w:cs="Calibri" w:asciiTheme="minorHAnsi" w:cstheme="minorHAnsi" w:hAnsiTheme="minorHAnsi"/>
          <w:b/>
          <w:color w:val="auto"/>
          <w:sz w:val="22"/>
          <w:szCs w:val="22"/>
        </w:rPr>
      </w:pPr>
      <w:r>
        <w:rPr>
          <w:rFonts w:cs="Calibri" w:cstheme="minorHAnsi" w:ascii="Calibri" w:hAnsi="Calibri"/>
          <w:b/>
          <w:color w:val="auto"/>
          <w:sz w:val="22"/>
          <w:szCs w:val="22"/>
        </w:rPr>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 16</w:t>
      </w:r>
    </w:p>
    <w:p>
      <w:pPr>
        <w:pStyle w:val="NormalWeb"/>
        <w:keepNext w:val="true"/>
        <w:shd w:val="clear" w:color="auto" w:fill="FFFFFF"/>
        <w:spacing w:lineRule="auto" w:line="276" w:beforeAutospacing="0" w:before="0" w:afterAutospacing="0" w:after="0"/>
        <w:ind w:hanging="426"/>
        <w:jc w:val="center"/>
        <w:rPr>
          <w:rStyle w:val="Strong"/>
          <w:rFonts w:ascii="Calibri" w:hAnsi="Calibri" w:cs="Calibri" w:asciiTheme="minorHAnsi" w:cstheme="minorHAnsi" w:hAnsiTheme="minorHAnsi"/>
          <w:color w:val="auto"/>
          <w:sz w:val="22"/>
          <w:szCs w:val="22"/>
        </w:rPr>
      </w:pPr>
      <w:bookmarkStart w:id="11" w:name="_Hlk203754457"/>
      <w:r>
        <w:rPr>
          <w:rStyle w:val="Strong"/>
          <w:rFonts w:cs="Calibri" w:ascii="Calibri" w:hAnsi="Calibri" w:asciiTheme="minorHAnsi" w:cstheme="minorHAnsi" w:hAnsiTheme="minorHAnsi"/>
          <w:color w:val="auto"/>
          <w:sz w:val="22"/>
          <w:szCs w:val="22"/>
        </w:rPr>
        <w:t>POSTANOWIENIA KOŃCOWE</w:t>
      </w:r>
      <w:bookmarkEnd w:id="11"/>
    </w:p>
    <w:p>
      <w:pPr>
        <w:pStyle w:val="NormalWeb"/>
        <w:numPr>
          <w:ilvl w:val="0"/>
          <w:numId w:val="3"/>
        </w:numPr>
        <w:shd w:val="clear" w:color="auto" w:fill="FFFFFF" w:themeFill="background1"/>
        <w:spacing w:lineRule="auto" w:line="276" w:beforeAutospacing="0" w:before="0" w:afterAutospacing="0" w:after="0"/>
        <w:ind w:hanging="425" w:left="425"/>
        <w:jc w:val="both"/>
        <w:rPr>
          <w:rFonts w:ascii="Calibri" w:hAnsi="Calibri" w:cs="" w:asciiTheme="minorHAnsi" w:cstheme="minorBidi" w:hAnsiTheme="minorHAnsi"/>
          <w:b/>
          <w:bCs/>
          <w:color w:val="auto"/>
          <w:sz w:val="22"/>
          <w:szCs w:val="22"/>
        </w:rPr>
      </w:pPr>
      <w:r>
        <w:rPr>
          <w:rFonts w:cs="" w:ascii="Calibri" w:hAnsi="Calibri" w:asciiTheme="minorHAnsi" w:cstheme="minorBidi" w:hAnsiTheme="minorHAnsi"/>
          <w:color w:val="auto"/>
          <w:sz w:val="22"/>
          <w:szCs w:val="22"/>
        </w:rPr>
        <w:t>W sprawach nieuregulowanych w Umowie zastosowanie mają przepisy prawa polskiego, w szczególności ustawy Prawo zamówień publicznych i Kodeksu cywilnego.</w:t>
      </w:r>
    </w:p>
    <w:p>
      <w:pPr>
        <w:pStyle w:val="NormalWeb"/>
        <w:numPr>
          <w:ilvl w:val="0"/>
          <w:numId w:val="3"/>
        </w:numPr>
        <w:shd w:val="clear" w:color="auto" w:fill="FFFFFF"/>
        <w:spacing w:lineRule="auto" w:line="276" w:beforeAutospacing="0" w:before="0" w:afterAutospacing="0" w:after="0"/>
        <w:ind w:hanging="426" w:left="426"/>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pPr>
        <w:pStyle w:val="NormalWeb"/>
        <w:numPr>
          <w:ilvl w:val="0"/>
          <w:numId w:val="3"/>
        </w:numPr>
        <w:shd w:val="clear" w:color="auto" w:fill="FFFFFF"/>
        <w:spacing w:lineRule="auto" w:line="276" w:beforeAutospacing="0" w:before="0" w:afterAutospacing="0" w:after="0"/>
        <w:ind w:hanging="426" w:left="426"/>
        <w:jc w:val="both"/>
        <w:rPr>
          <w:highlight w:val="none"/>
          <w:shd w:fill="FFFFFF" w:val="clear"/>
        </w:rPr>
      </w:pPr>
      <w:bookmarkStart w:id="12" w:name="_Hlk203032391"/>
      <w:bookmarkEnd w:id="12"/>
      <w:r>
        <w:rPr>
          <w:rFonts w:cs="Calibri" w:ascii="Calibri" w:hAnsi="Calibri" w:asciiTheme="minorHAnsi" w:cstheme="minorHAnsi" w:hAnsiTheme="minorHAnsi"/>
          <w:color w:val="auto"/>
          <w:sz w:val="22"/>
          <w:szCs w:val="22"/>
          <w:shd w:fill="FFFFFF" w:val="clear"/>
        </w:rPr>
        <w:t>Załączniki do Umowy stanowią:</w:t>
      </w:r>
    </w:p>
    <w:p>
      <w:pPr>
        <w:pStyle w:val="ListParagraph"/>
        <w:numPr>
          <w:ilvl w:val="0"/>
          <w:numId w:val="9"/>
        </w:numPr>
        <w:spacing w:before="0" w:after="0"/>
        <w:contextualSpacing/>
        <w:rPr>
          <w:highlight w:val="none"/>
          <w:shd w:fill="FFFFFF" w:val="clear"/>
        </w:rPr>
      </w:pPr>
      <w:r>
        <w:rPr>
          <w:rFonts w:cs="Calibri" w:cstheme="minorHAnsi"/>
          <w:color w:val="auto"/>
          <w:shd w:fill="FFFFFF" w:val="clear"/>
        </w:rPr>
        <w:t>ARKUSZ CENOWY – PAKIET NR 1</w:t>
      </w:r>
    </w:p>
    <w:p>
      <w:pPr>
        <w:pStyle w:val="ListParagraph"/>
        <w:numPr>
          <w:ilvl w:val="0"/>
          <w:numId w:val="9"/>
        </w:numPr>
        <w:spacing w:before="0" w:after="0"/>
        <w:contextualSpacing/>
        <w:rPr>
          <w:highlight w:val="none"/>
          <w:shd w:fill="FFFFFF" w:val="clear"/>
        </w:rPr>
      </w:pPr>
      <w:r>
        <w:rPr>
          <w:rFonts w:cs="Calibri" w:cstheme="minorHAnsi"/>
          <w:color w:val="auto"/>
          <w:shd w:fill="FFFFFF" w:val="clear"/>
        </w:rPr>
        <w:t>Opis Przedmiotu Zamówienia</w:t>
      </w:r>
    </w:p>
    <w:p>
      <w:pPr>
        <w:pStyle w:val="ListParagraph"/>
        <w:numPr>
          <w:ilvl w:val="0"/>
          <w:numId w:val="9"/>
        </w:numPr>
        <w:spacing w:before="0" w:after="0"/>
        <w:contextualSpacing/>
        <w:rPr>
          <w:highlight w:val="none"/>
          <w:shd w:fill="FFFFFF" w:val="clear"/>
        </w:rPr>
      </w:pPr>
      <w:r>
        <w:rPr>
          <w:rFonts w:cs="" w:cstheme="minorBidi"/>
          <w:color w:val="auto"/>
          <w:shd w:fill="FFFFFF" w:val="clear"/>
        </w:rPr>
        <w:t>Gwarancja</w:t>
      </w:r>
    </w:p>
    <w:p>
      <w:pPr>
        <w:pStyle w:val="ListParagraph"/>
        <w:numPr>
          <w:ilvl w:val="0"/>
          <w:numId w:val="49"/>
        </w:numPr>
        <w:spacing w:before="0" w:after="0"/>
        <w:contextualSpacing/>
        <w:rPr>
          <w:highlight w:val="none"/>
          <w:shd w:fill="FFFFFF" w:val="clear"/>
        </w:rPr>
      </w:pPr>
      <w:r>
        <w:rPr>
          <w:rFonts w:cs="" w:cstheme="minorBidi"/>
          <w:color w:val="000000"/>
          <w:sz w:val="22"/>
          <w:szCs w:val="22"/>
          <w:shd w:fill="FFFFFF" w:val="clear"/>
        </w:rPr>
        <w:t>Dodatek nr 1 – Zasady udzielania zdalnego dostępu</w:t>
      </w:r>
    </w:p>
    <w:p>
      <w:pPr>
        <w:pStyle w:val="ListParagraph"/>
        <w:numPr>
          <w:ilvl w:val="0"/>
          <w:numId w:val="49"/>
        </w:numPr>
        <w:spacing w:before="0" w:after="0"/>
        <w:contextualSpacing/>
        <w:rPr>
          <w:highlight w:val="none"/>
          <w:shd w:fill="FFFFFF" w:val="clear"/>
        </w:rPr>
      </w:pPr>
      <w:r>
        <w:rPr>
          <w:rFonts w:cs="" w:cstheme="minorBidi"/>
          <w:color w:val="000000"/>
          <w:sz w:val="22"/>
          <w:szCs w:val="22"/>
          <w:shd w:fill="FFFFFF" w:val="clear"/>
        </w:rPr>
        <w:t>Dodatek nr 2 – Informacje o Zamawiającym</w:t>
      </w:r>
    </w:p>
    <w:p>
      <w:pPr>
        <w:pStyle w:val="ListParagraph"/>
        <w:numPr>
          <w:ilvl w:val="0"/>
          <w:numId w:val="49"/>
        </w:numPr>
        <w:spacing w:before="0" w:after="0"/>
        <w:contextualSpacing/>
        <w:rPr>
          <w:highlight w:val="none"/>
          <w:shd w:fill="FFFFFF" w:val="clear"/>
        </w:rPr>
      </w:pPr>
      <w:r>
        <w:rPr>
          <w:rFonts w:cs="Times New Roman"/>
          <w:b w:val="false"/>
          <w:bCs w:val="false"/>
          <w:color w:val="000000"/>
          <w:sz w:val="22"/>
          <w:szCs w:val="22"/>
          <w:shd w:fill="FFFFFF" w:val="clear"/>
        </w:rPr>
        <w:t xml:space="preserve"> </w:t>
      </w:r>
      <w:r>
        <w:rPr>
          <w:rFonts w:cs="Times New Roman"/>
          <w:b w:val="false"/>
          <w:bCs w:val="false"/>
          <w:color w:val="000000"/>
          <w:sz w:val="22"/>
          <w:szCs w:val="22"/>
          <w:shd w:fill="FFFFFF" w:val="clear"/>
        </w:rPr>
        <w:t xml:space="preserve">Dodatek nr 3 </w:t>
      </w:r>
      <w:r>
        <w:rPr>
          <w:rFonts w:cs="Times New Roman"/>
          <w:b/>
          <w:bCs/>
          <w:color w:val="000000"/>
          <w:sz w:val="22"/>
          <w:szCs w:val="22"/>
          <w:shd w:fill="FFFFFF" w:val="clear"/>
        </w:rPr>
        <w:t xml:space="preserve">- </w:t>
      </w:r>
      <w:r>
        <w:rPr>
          <w:rFonts w:cs="Times New Roman"/>
          <w:color w:val="000000"/>
          <w:sz w:val="22"/>
          <w:szCs w:val="22"/>
          <w:shd w:fill="FFFFFF" w:val="clear"/>
        </w:rPr>
        <w:t>Warunki przyjmowania obsługi zgłoszeń podatności oprogramowania aplikacyjnego</w:t>
      </w:r>
    </w:p>
    <w:p>
      <w:pPr>
        <w:pStyle w:val="ListParagraph"/>
        <w:numPr>
          <w:ilvl w:val="0"/>
          <w:numId w:val="9"/>
        </w:numPr>
        <w:spacing w:before="0" w:after="0"/>
        <w:contextualSpacing/>
        <w:rPr>
          <w:highlight w:val="none"/>
          <w:shd w:fill="FFFFFF" w:val="clear"/>
        </w:rPr>
      </w:pPr>
      <w:r>
        <w:rPr>
          <w:rFonts w:cs="Calibri" w:cstheme="minorHAnsi"/>
          <w:color w:val="auto"/>
          <w:shd w:fill="FFFFFF" w:val="clear"/>
        </w:rPr>
        <w:t>Licencja</w:t>
      </w:r>
    </w:p>
    <w:p>
      <w:pPr>
        <w:pStyle w:val="ListParagraph"/>
        <w:numPr>
          <w:ilvl w:val="0"/>
          <w:numId w:val="9"/>
        </w:numPr>
        <w:spacing w:before="0" w:after="0"/>
        <w:contextualSpacing/>
        <w:rPr>
          <w:rFonts w:cs="Calibri" w:cstheme="minorHAnsi"/>
          <w:color w:val="auto"/>
        </w:rPr>
      </w:pPr>
      <w:r>
        <w:rPr>
          <w:rFonts w:cs="Calibri" w:cstheme="minorHAnsi"/>
          <w:color w:val="auto"/>
        </w:rPr>
        <w:t>Umowa powierzenia przetwarzania danych osobowych</w:t>
      </w:r>
    </w:p>
    <w:p>
      <w:pPr>
        <w:pStyle w:val="ListParagraph"/>
        <w:numPr>
          <w:ilvl w:val="0"/>
          <w:numId w:val="9"/>
        </w:numPr>
        <w:spacing w:before="0" w:after="0"/>
        <w:contextualSpacing/>
        <w:rPr>
          <w:rFonts w:cs="Calibri" w:cstheme="minorHAnsi"/>
          <w:color w:val="auto"/>
        </w:rPr>
      </w:pPr>
      <w:r>
        <w:rPr>
          <w:rFonts w:cs="Calibri" w:cstheme="minorHAnsi"/>
          <w:color w:val="auto"/>
        </w:rPr>
        <w:t>Wzory Protokołów</w:t>
      </w:r>
    </w:p>
    <w:p>
      <w:pPr>
        <w:pStyle w:val="ListParagraph"/>
        <w:numPr>
          <w:ilvl w:val="0"/>
          <w:numId w:val="9"/>
        </w:numPr>
        <w:spacing w:before="0" w:after="0"/>
        <w:contextualSpacing/>
        <w:rPr>
          <w:rFonts w:cs="Calibri" w:cstheme="minorHAnsi"/>
          <w:color w:val="auto"/>
        </w:rPr>
      </w:pPr>
      <w:r>
        <w:rPr>
          <w:rFonts w:cs="Calibri" w:cstheme="minorHAnsi"/>
          <w:color w:val="auto"/>
        </w:rPr>
        <w:t>Klauzula informacyjna Wykonawcy</w:t>
      </w:r>
    </w:p>
    <w:p>
      <w:pPr>
        <w:pStyle w:val="Normal"/>
        <w:rPr>
          <w:rStyle w:val="Strong"/>
          <w:rFonts w:cs="Calibri" w:cstheme="minorHAnsi"/>
          <w:color w:val="auto"/>
        </w:rPr>
      </w:pPr>
      <w:r>
        <w:rPr>
          <w:rFonts w:cs="Calibri" w:cstheme="minorHAnsi"/>
          <w:color w:val="auto"/>
        </w:rPr>
      </w:r>
      <w:bookmarkStart w:id="13" w:name="_Hlk203032391_kopia_1"/>
      <w:bookmarkStart w:id="14" w:name="_Hlk203032391_kopia_1"/>
      <w:bookmarkEnd w:id="14"/>
    </w:p>
    <w:tbl>
      <w:tblPr>
        <w:tblStyle w:val="Tabela-Siatka"/>
        <w:tblW w:w="9344"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4672"/>
        <w:gridCol w:w="4672"/>
      </w:tblGrid>
      <w:tr>
        <w:trPr/>
        <w:tc>
          <w:tcPr>
            <w:tcW w:w="4672" w:type="dxa"/>
            <w:tcBorders>
              <w:top w:val="nil"/>
              <w:left w:val="nil"/>
              <w:bottom w:val="nil"/>
              <w:right w:val="nil"/>
            </w:tcBorders>
          </w:tcPr>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 w:val="20"/>
                <w:szCs w:val="22"/>
                <w:lang w:val="pl-PL" w:eastAsia="pl-PL" w:bidi="ar-SA"/>
              </w:rPr>
              <w:t>…………………………………………………</w:t>
            </w:r>
            <w:r>
              <w:rPr>
                <w:rFonts w:eastAsia="Calibri" w:cs="Calibri" w:cstheme="minorHAnsi"/>
                <w:b/>
                <w:color w:val="auto"/>
                <w:kern w:val="0"/>
                <w:sz w:val="20"/>
                <w:szCs w:val="22"/>
                <w:lang w:val="pl-PL" w:eastAsia="pl-PL" w:bidi="ar-SA"/>
              </w:rPr>
              <w:t>.</w:t>
            </w:r>
          </w:p>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 w:val="20"/>
                <w:szCs w:val="22"/>
                <w:lang w:val="pl-PL" w:eastAsia="pl-PL" w:bidi="ar-SA"/>
              </w:rPr>
              <w:t>Zamawiający</w:t>
            </w:r>
          </w:p>
        </w:tc>
        <w:tc>
          <w:tcPr>
            <w:tcW w:w="4672" w:type="dxa"/>
            <w:tcBorders>
              <w:top w:val="nil"/>
              <w:left w:val="nil"/>
              <w:bottom w:val="nil"/>
              <w:right w:val="nil"/>
            </w:tcBorders>
          </w:tcPr>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 w:val="20"/>
                <w:szCs w:val="22"/>
                <w:lang w:val="pl-PL" w:eastAsia="pl-PL" w:bidi="ar-SA"/>
              </w:rPr>
              <w:t>…………………………………………………</w:t>
            </w:r>
            <w:r>
              <w:rPr>
                <w:rFonts w:eastAsia="Calibri" w:cs="Calibri" w:cstheme="minorHAnsi"/>
                <w:b/>
                <w:color w:val="auto"/>
                <w:kern w:val="0"/>
                <w:sz w:val="20"/>
                <w:szCs w:val="22"/>
                <w:lang w:val="pl-PL" w:eastAsia="pl-PL" w:bidi="ar-SA"/>
              </w:rPr>
              <w:t>.</w:t>
            </w:r>
          </w:p>
          <w:p>
            <w:pPr>
              <w:pStyle w:val="Normal"/>
              <w:widowControl/>
              <w:suppressAutoHyphens w:val="true"/>
              <w:spacing w:lineRule="auto" w:line="276" w:before="0" w:after="0"/>
              <w:jc w:val="center"/>
              <w:rPr>
                <w:rFonts w:cs="Calibri" w:cstheme="minorHAnsi"/>
                <w:b/>
                <w:color w:val="auto"/>
                <w:szCs w:val="22"/>
              </w:rPr>
            </w:pPr>
            <w:r>
              <w:rPr>
                <w:rFonts w:eastAsia="Calibri" w:cs="Calibri" w:cstheme="minorHAnsi"/>
                <w:b/>
                <w:color w:val="auto"/>
                <w:kern w:val="0"/>
                <w:sz w:val="20"/>
                <w:szCs w:val="22"/>
                <w:lang w:val="pl-PL" w:eastAsia="pl-PL" w:bidi="ar-SA"/>
              </w:rPr>
              <w:t>Wykonawca</w:t>
            </w:r>
          </w:p>
        </w:tc>
      </w:tr>
    </w:tbl>
    <w:p>
      <w:pPr>
        <w:pStyle w:val="Normal"/>
        <w:spacing w:before="0" w:after="0"/>
        <w:jc w:val="center"/>
        <w:rPr>
          <w:rFonts w:cs="Calibri" w:cstheme="minorHAnsi"/>
          <w:color w:val="auto"/>
        </w:rPr>
      </w:pPr>
      <w:r>
        <w:rPr>
          <w:rFonts w:cs="Calibri" w:cstheme="minorHAnsi"/>
          <w:color w:val="auto"/>
        </w:rPr>
      </w:r>
      <w:r>
        <w:br w:type="page"/>
      </w:r>
    </w:p>
    <w:p>
      <w:pPr>
        <w:pStyle w:val="Normal"/>
        <w:spacing w:before="0" w:after="0"/>
        <w:jc w:val="center"/>
        <w:rPr>
          <w:rFonts w:cs="Calibri" w:cstheme="minorHAnsi"/>
          <w:b/>
          <w:color w:val="auto"/>
        </w:rPr>
      </w:pPr>
      <w:r>
        <w:rPr>
          <w:rFonts w:cs="Calibri" w:cstheme="minorHAnsi"/>
          <w:b/>
          <w:color w:val="auto"/>
        </w:rPr>
        <w:t>ZAŁĄCZNIK NR 1</w:t>
      </w:r>
    </w:p>
    <w:p>
      <w:pPr>
        <w:pStyle w:val="Normal"/>
        <w:spacing w:before="0" w:after="0"/>
        <w:jc w:val="center"/>
        <w:rPr>
          <w:rFonts w:cs="Calibri" w:cstheme="minorHAnsi"/>
          <w:b/>
          <w:color w:val="auto"/>
        </w:rPr>
      </w:pPr>
      <w:r>
        <w:rPr>
          <w:rFonts w:cs="Calibri" w:cstheme="minorHAnsi"/>
          <w:b/>
          <w:color w:val="auto"/>
        </w:rPr>
        <w:t>ARKUSZ CENOWY NA PAKIET NR 1</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color w:val="auto"/>
        </w:rPr>
      </w:pPr>
      <w:r>
        <w:rPr>
          <w:rFonts w:cs="Calibri" w:cstheme="minorHAnsi"/>
          <w:b/>
          <w:color w:val="auto"/>
        </w:rPr>
        <w:t>ZAŁĄCZNIK NR 2</w:t>
      </w:r>
    </w:p>
    <w:p>
      <w:pPr>
        <w:pStyle w:val="Normal"/>
        <w:widowControl w:val="false"/>
        <w:suppressAutoHyphens w:val="true"/>
        <w:overflowPunct w:val="false"/>
        <w:spacing w:before="0" w:after="0"/>
        <w:jc w:val="center"/>
        <w:rPr>
          <w:rFonts w:cs="Calibri" w:cstheme="minorHAnsi"/>
          <w:b/>
          <w:color w:val="auto"/>
        </w:rPr>
      </w:pPr>
      <w:r>
        <w:rPr>
          <w:rFonts w:cs="Calibri" w:cstheme="minorHAnsi"/>
          <w:b/>
          <w:color w:val="auto"/>
        </w:rPr>
        <w:t>OPIS PRZEDMIOTU ZAMÓWIENIA</w:t>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r>
    </w:p>
    <w:p>
      <w:pPr>
        <w:pStyle w:val="ListParagraph"/>
        <w:spacing w:lineRule="auto" w:line="240"/>
        <w:jc w:val="center"/>
        <w:rPr>
          <w:b/>
          <w:bCs/>
        </w:rPr>
      </w:pPr>
      <w:r>
        <w:rPr>
          <w:rFonts w:eastAsia="Times New Roman"/>
          <w:b/>
          <w:bCs/>
          <w:color w:val="00B0F0"/>
          <w:sz w:val="32"/>
          <w:szCs w:val="32"/>
          <w:lang w:eastAsia="pl-PL"/>
        </w:rPr>
        <w:t>1.Pulpit Lekarski</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64"/>
        </w:numPr>
        <w:spacing w:lineRule="auto" w:line="259" w:before="0" w:after="160"/>
        <w:contextualSpacing/>
        <w:jc w:val="both"/>
        <w:rPr/>
      </w:pPr>
      <w:r>
        <w:rPr/>
        <w:t>System udostępnia Pulpity dedykowane grupom personelu medycznego, prezentujące najważniejsze informacje medyczne o aktualnym stanie pacjenta.</w:t>
      </w:r>
    </w:p>
    <w:p>
      <w:pPr>
        <w:pStyle w:val="ListParagraph"/>
        <w:numPr>
          <w:ilvl w:val="1"/>
          <w:numId w:val="64"/>
        </w:numPr>
        <w:spacing w:lineRule="auto" w:line="259" w:before="0" w:after="160"/>
        <w:contextualSpacing/>
        <w:jc w:val="both"/>
        <w:rPr/>
      </w:pPr>
      <w:r>
        <w:rPr/>
        <w:t>System musi być dostępny dla różnych klas urządzeń - minimum: komputer stacjonarny, laptop, tablet, smartfon</w:t>
      </w:r>
    </w:p>
    <w:p>
      <w:pPr>
        <w:pStyle w:val="ListParagraph"/>
        <w:numPr>
          <w:ilvl w:val="1"/>
          <w:numId w:val="64"/>
        </w:numPr>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64"/>
        </w:numPr>
        <w:spacing w:lineRule="auto" w:line="259" w:before="0" w:after="160"/>
        <w:contextualSpacing/>
        <w:jc w:val="both"/>
        <w:rPr/>
      </w:pPr>
      <w:r>
        <w:rPr/>
        <w:t>- danych osobowych,</w:t>
      </w:r>
    </w:p>
    <w:p>
      <w:pPr>
        <w:pStyle w:val="ListParagraph"/>
        <w:numPr>
          <w:ilvl w:val="2"/>
          <w:numId w:val="64"/>
        </w:numPr>
        <w:spacing w:lineRule="auto" w:line="259" w:before="0" w:after="160"/>
        <w:contextualSpacing/>
        <w:jc w:val="both"/>
        <w:rPr/>
      </w:pPr>
      <w:r>
        <w:rPr/>
        <w:t>- danych o alergiach i uczuleniach, grupie krwi, groźnych wirusach lub bakteriach, szczepieniach,</w:t>
      </w:r>
    </w:p>
    <w:p>
      <w:pPr>
        <w:pStyle w:val="ListParagraph"/>
        <w:numPr>
          <w:ilvl w:val="2"/>
          <w:numId w:val="64"/>
        </w:numPr>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64"/>
        </w:numPr>
        <w:spacing w:lineRule="auto" w:line="259" w:before="0" w:after="160"/>
        <w:contextualSpacing/>
        <w:jc w:val="both"/>
        <w:rPr/>
      </w:pPr>
      <w:r>
        <w:rPr/>
        <w:t>- diet, przebiegów pielęgniarskich, innych (pozostałych) zleceń pielęgniarskich,</w:t>
      </w:r>
    </w:p>
    <w:p>
      <w:pPr>
        <w:pStyle w:val="ListParagraph"/>
        <w:numPr>
          <w:ilvl w:val="2"/>
          <w:numId w:val="64"/>
        </w:numPr>
        <w:spacing w:lineRule="auto" w:line="259" w:before="0" w:after="160"/>
        <w:contextualSpacing/>
        <w:jc w:val="both"/>
        <w:rPr/>
      </w:pPr>
      <w:r>
        <w:rPr/>
        <w:t>- dokumentacji medycznej.</w:t>
      </w:r>
    </w:p>
    <w:p>
      <w:pPr>
        <w:pStyle w:val="ListParagraph"/>
        <w:numPr>
          <w:ilvl w:val="1"/>
          <w:numId w:val="64"/>
        </w:numPr>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ListParagraph"/>
        <w:numPr>
          <w:ilvl w:val="1"/>
          <w:numId w:val="64"/>
        </w:numPr>
        <w:spacing w:lineRule="auto" w:line="259" w:before="0" w:after="160"/>
        <w:contextualSpacing/>
        <w:jc w:val="both"/>
        <w:rPr/>
      </w:pPr>
      <w:r>
        <w:rPr/>
        <w:t>System musi umożliwiać dostosowanie zawartości ekranu (pulpitu) do Jednostki organizacyjnej, w zakresie, formie oraz kolejności prezentowanych danych</w:t>
      </w:r>
    </w:p>
    <w:p>
      <w:pPr>
        <w:pStyle w:val="ListParagraph"/>
        <w:numPr>
          <w:ilvl w:val="1"/>
          <w:numId w:val="64"/>
        </w:numPr>
        <w:spacing w:lineRule="auto" w:line="259" w:before="0" w:after="160"/>
        <w:contextualSpacing/>
        <w:jc w:val="both"/>
        <w:rPr/>
      </w:pPr>
      <w:r>
        <w:rPr/>
        <w:t>System musi umożliwiać uprawnionemu użytkownikowi na dostosowanie pulpitu do jego indywidualnych preferencji, w zakresie, formie oraz kolejności prezentowanych danych</w:t>
      </w:r>
    </w:p>
    <w:p>
      <w:pPr>
        <w:pStyle w:val="ListParagraph"/>
        <w:numPr>
          <w:ilvl w:val="1"/>
          <w:numId w:val="64"/>
        </w:numPr>
        <w:spacing w:lineRule="auto" w:line="259" w:before="0" w:after="160"/>
        <w:contextualSpacing/>
        <w:jc w:val="both"/>
        <w:rPr/>
      </w:pPr>
      <w:r>
        <w:rPr/>
        <w:t>System musi zapewniać możliwość dostosowania konfiguracji pulpitu dla urządzeń z różną rozdzielczością i orientacją ekranu</w:t>
      </w:r>
    </w:p>
    <w:p>
      <w:pPr>
        <w:pStyle w:val="ListParagraph"/>
        <w:numPr>
          <w:ilvl w:val="1"/>
          <w:numId w:val="64"/>
        </w:numPr>
        <w:spacing w:lineRule="auto" w:line="259" w:before="0" w:after="160"/>
        <w:contextualSpacing/>
        <w:jc w:val="both"/>
        <w:rPr/>
      </w:pPr>
      <w:r>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64"/>
        </w:numPr>
        <w:spacing w:lineRule="auto" w:line="259" w:before="0" w:after="160"/>
        <w:contextualSpacing/>
        <w:jc w:val="both"/>
        <w:rPr/>
      </w:pPr>
      <w:r>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64"/>
        </w:numPr>
        <w:spacing w:lineRule="auto" w:line="259" w:before="0" w:after="160"/>
        <w:contextualSpacing/>
        <w:jc w:val="both"/>
        <w:rPr/>
      </w:pPr>
      <w:r>
        <w:rPr/>
        <w:t>System w ramach konfiguracji pulpitu powinien umożliwić:</w:t>
      </w:r>
    </w:p>
    <w:p>
      <w:pPr>
        <w:pStyle w:val="ListParagraph"/>
        <w:numPr>
          <w:ilvl w:val="2"/>
          <w:numId w:val="64"/>
        </w:numPr>
        <w:spacing w:lineRule="auto" w:line="259" w:before="0" w:after="160"/>
        <w:contextualSpacing/>
        <w:jc w:val="both"/>
        <w:rPr/>
      </w:pPr>
      <w:r>
        <w:rPr/>
        <w:t>- dodanie/usunięcie nowej sekcji,</w:t>
      </w:r>
    </w:p>
    <w:p>
      <w:pPr>
        <w:pStyle w:val="ListParagraph"/>
        <w:numPr>
          <w:ilvl w:val="2"/>
          <w:numId w:val="64"/>
        </w:numPr>
        <w:spacing w:lineRule="auto" w:line="259" w:before="0" w:after="160"/>
        <w:contextualSpacing/>
        <w:jc w:val="both"/>
        <w:rPr/>
      </w:pPr>
      <w:r>
        <w:rPr/>
        <w:t>- położenie na nowo utworzonej sekcji kafelków,</w:t>
      </w:r>
    </w:p>
    <w:p>
      <w:pPr>
        <w:pStyle w:val="ListParagraph"/>
        <w:numPr>
          <w:ilvl w:val="2"/>
          <w:numId w:val="64"/>
        </w:numPr>
        <w:spacing w:lineRule="auto" w:line="259" w:before="0" w:after="160"/>
        <w:contextualSpacing/>
        <w:jc w:val="both"/>
        <w:rPr/>
      </w:pPr>
      <w:r>
        <w:rPr/>
        <w:t>- zmianę wielkości poszczególnych kafelków,</w:t>
      </w:r>
    </w:p>
    <w:p>
      <w:pPr>
        <w:pStyle w:val="ListParagraph"/>
        <w:numPr>
          <w:ilvl w:val="2"/>
          <w:numId w:val="64"/>
        </w:numPr>
        <w:spacing w:lineRule="auto" w:line="259" w:before="0" w:after="160"/>
        <w:contextualSpacing/>
        <w:jc w:val="both"/>
        <w:rPr/>
      </w:pPr>
      <w:r>
        <w:rPr/>
        <w:t>- zmianę miejsca położenia poszczególnych kafelków,</w:t>
      </w:r>
    </w:p>
    <w:p>
      <w:pPr>
        <w:pStyle w:val="ListParagraph"/>
        <w:numPr>
          <w:ilvl w:val="2"/>
          <w:numId w:val="64"/>
        </w:numPr>
        <w:spacing w:lineRule="auto" w:line="259" w:before="0" w:after="160"/>
        <w:contextualSpacing/>
        <w:jc w:val="both"/>
        <w:rPr/>
      </w:pPr>
      <w:r>
        <w:rPr/>
        <w:t>- zapisanie ustawienia pulpitu dla bieżącej rozdzielczości,</w:t>
      </w:r>
    </w:p>
    <w:p>
      <w:pPr>
        <w:pStyle w:val="ListParagraph"/>
        <w:numPr>
          <w:ilvl w:val="2"/>
          <w:numId w:val="64"/>
        </w:numPr>
        <w:spacing w:lineRule="auto" w:line="259" w:before="0" w:after="160"/>
        <w:contextualSpacing/>
        <w:jc w:val="both"/>
        <w:rPr/>
      </w:pPr>
      <w:r>
        <w:rPr/>
        <w:t>- przywrócenie domyślnych ustawień,</w:t>
      </w:r>
    </w:p>
    <w:p>
      <w:pPr>
        <w:pStyle w:val="ListParagraph"/>
        <w:numPr>
          <w:ilvl w:val="1"/>
          <w:numId w:val="64"/>
        </w:numPr>
        <w:spacing w:lineRule="auto" w:line="259" w:before="0" w:after="160"/>
        <w:contextualSpacing/>
        <w:jc w:val="both"/>
        <w:rPr/>
      </w:pPr>
      <w:r>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64"/>
        </w:numPr>
        <w:spacing w:lineRule="auto" w:line="259" w:before="0" w:after="160"/>
        <w:contextualSpacing/>
        <w:jc w:val="both"/>
        <w:rPr/>
      </w:pPr>
      <w:r>
        <w:rPr/>
        <w:t>System musi respektować uprawnienia użytkownika do dostępu do danych pacjentów jednostek objętych szczególną ochroną danych (np. jednostki psychiatryczne)</w:t>
      </w:r>
    </w:p>
    <w:p>
      <w:pPr>
        <w:pStyle w:val="ListParagraph"/>
        <w:numPr>
          <w:ilvl w:val="1"/>
          <w:numId w:val="64"/>
        </w:numPr>
        <w:spacing w:lineRule="auto" w:line="259" w:before="0" w:after="160"/>
        <w:contextualSpacing/>
        <w:jc w:val="both"/>
        <w:rPr/>
      </w:pPr>
      <w:r>
        <w:rPr/>
        <w:t>System umożliwia szybkie przełączenie pulpitu na innego pacjenta z listy określonej w wyszukaniu pacjentów (np. pacjentów określonej sali)</w:t>
      </w:r>
    </w:p>
    <w:p>
      <w:pPr>
        <w:pStyle w:val="ListParagraph"/>
        <w:numPr>
          <w:ilvl w:val="1"/>
          <w:numId w:val="64"/>
        </w:numPr>
        <w:spacing w:lineRule="auto" w:line="259" w:before="0" w:after="160"/>
        <w:contextualSpacing/>
        <w:jc w:val="both"/>
        <w:rPr/>
      </w:pPr>
      <w:r>
        <w:rPr/>
        <w:t>System musi umożliwiać rejestrację i prezentację dowolnych uwag, notatek w formie dowolnego tekstu, dedykowanego konkretnemu pacjentowi i do określonego dnia</w:t>
      </w:r>
    </w:p>
    <w:p>
      <w:pPr>
        <w:pStyle w:val="ListParagraph"/>
        <w:numPr>
          <w:ilvl w:val="1"/>
          <w:numId w:val="64"/>
        </w:numPr>
        <w:spacing w:lineRule="auto" w:line="259" w:before="0" w:after="160"/>
        <w:contextualSpacing/>
        <w:jc w:val="both"/>
        <w:rPr/>
      </w:pPr>
      <w:r>
        <w:rPr/>
        <w:t>System musi prezentować fakt pozostawienia notatki na dany dzień w formie osi czasu</w:t>
      </w:r>
    </w:p>
    <w:p>
      <w:pPr>
        <w:pStyle w:val="ListParagraph"/>
        <w:numPr>
          <w:ilvl w:val="1"/>
          <w:numId w:val="64"/>
        </w:numPr>
        <w:spacing w:lineRule="auto" w:line="259" w:before="0" w:after="160"/>
        <w:contextualSpacing/>
        <w:jc w:val="both"/>
        <w:rPr/>
      </w:pPr>
      <w:r>
        <w:rPr/>
        <w:t>System musi umożliwić przegląd listy personelu przypisanego do poszczególnych sal w układzie graficznym (każda sala to osobna kostka informacyjna).</w:t>
      </w:r>
    </w:p>
    <w:p>
      <w:pPr>
        <w:pStyle w:val="ListParagraph"/>
        <w:numPr>
          <w:ilvl w:val="1"/>
          <w:numId w:val="64"/>
        </w:numPr>
        <w:spacing w:lineRule="auto" w:line="259" w:before="0" w:after="160"/>
        <w:contextualSpacing/>
        <w:jc w:val="both"/>
        <w:rPr/>
      </w:pPr>
      <w:r>
        <w:rPr/>
        <w:t>System musi umożliwić zarządzanie przypisaniami (przypinanie i odpinanie) użytkownika zalogowanego do wybranych sal w ramach jednostki szpitalnej.</w:t>
      </w:r>
    </w:p>
    <w:p>
      <w:pPr>
        <w:pStyle w:val="ListParagraph"/>
        <w:numPr>
          <w:ilvl w:val="1"/>
          <w:numId w:val="64"/>
        </w:numPr>
        <w:spacing w:lineRule="auto" w:line="259" w:before="0" w:after="160"/>
        <w:contextualSpacing/>
        <w:jc w:val="both"/>
        <w:rPr/>
      </w:pPr>
      <w:r>
        <w:rPr/>
        <w:t>System musi umożliwiać zapisywanie własnych notatek związanych z wybranym pacjentem</w:t>
      </w:r>
    </w:p>
    <w:p>
      <w:pPr>
        <w:pStyle w:val="ListParagraph"/>
        <w:numPr>
          <w:ilvl w:val="1"/>
          <w:numId w:val="64"/>
        </w:numPr>
        <w:spacing w:lineRule="auto" w:line="259" w:before="0" w:after="160"/>
        <w:contextualSpacing/>
        <w:jc w:val="both"/>
        <w:rPr/>
      </w:pPr>
      <w:r>
        <w:rPr/>
        <w:t>System musi umożliwiać zapisywanie notatek publicznych (dostępnych dla całego personelu) związanych z wybranym pacjentem</w:t>
      </w:r>
    </w:p>
    <w:p>
      <w:pPr>
        <w:pStyle w:val="ListParagraph"/>
        <w:numPr>
          <w:ilvl w:val="1"/>
          <w:numId w:val="64"/>
        </w:numPr>
        <w:spacing w:lineRule="auto" w:line="259" w:before="0" w:after="160"/>
        <w:contextualSpacing/>
        <w:jc w:val="both"/>
        <w:rPr/>
      </w:pPr>
      <w:r>
        <w:rPr/>
        <w:t>System musi umożliwiać prezentację notatek na liście zbiorczej pacjentów, na dedykowanym kafelku oraz na wykresie podstawowych pomiarów.</w:t>
      </w:r>
    </w:p>
    <w:p>
      <w:pPr>
        <w:pStyle w:val="ListParagraph"/>
        <w:numPr>
          <w:ilvl w:val="1"/>
          <w:numId w:val="64"/>
        </w:numPr>
        <w:spacing w:lineRule="auto" w:line="259" w:before="0" w:after="160"/>
        <w:contextualSpacing/>
        <w:jc w:val="both"/>
        <w:rPr/>
      </w:pPr>
      <w:r>
        <w:rPr/>
        <w:t>System musi umożliwiać usuwanie notatek</w:t>
      </w:r>
    </w:p>
    <w:p>
      <w:pPr>
        <w:pStyle w:val="ListParagraph"/>
        <w:numPr>
          <w:ilvl w:val="1"/>
          <w:numId w:val="64"/>
        </w:numPr>
        <w:spacing w:lineRule="auto" w:line="259" w:before="0" w:after="160"/>
        <w:contextualSpacing/>
        <w:jc w:val="both"/>
        <w:rPr/>
      </w:pPr>
      <w:r>
        <w:rPr/>
        <w:t>System musi umożliwiać przedstawienie listy zbiorczej pacjentów przebywających na oddziale w formie graficznej listy, a także siatki (każda sala to osobna kostka informacyjna) z podziałem na sale.</w:t>
      </w:r>
    </w:p>
    <w:p>
      <w:pPr>
        <w:pStyle w:val="ListParagraph"/>
        <w:numPr>
          <w:ilvl w:val="1"/>
          <w:numId w:val="64"/>
        </w:numPr>
        <w:spacing w:lineRule="auto" w:line="259" w:before="0" w:after="160"/>
        <w:contextualSpacing/>
        <w:jc w:val="both"/>
        <w:rPr/>
      </w:pPr>
      <w:r>
        <w:rPr/>
        <w:t>System musi umożliwiać filtrowanie listy zbiorczej pacjentów przebywających na oddziale, w zależności od:</w:t>
      </w:r>
    </w:p>
    <w:p>
      <w:pPr>
        <w:pStyle w:val="ListParagraph"/>
        <w:numPr>
          <w:ilvl w:val="2"/>
          <w:numId w:val="64"/>
        </w:numPr>
        <w:spacing w:lineRule="auto" w:line="259" w:before="0" w:after="160"/>
        <w:contextualSpacing/>
        <w:jc w:val="both"/>
        <w:rPr/>
      </w:pPr>
      <w:r>
        <w:rPr/>
        <w:t>- sali pobytu,</w:t>
      </w:r>
    </w:p>
    <w:p>
      <w:pPr>
        <w:pStyle w:val="ListParagraph"/>
        <w:numPr>
          <w:ilvl w:val="2"/>
          <w:numId w:val="64"/>
        </w:numPr>
        <w:spacing w:lineRule="auto" w:line="259" w:before="0" w:after="160"/>
        <w:contextualSpacing/>
        <w:jc w:val="both"/>
        <w:rPr/>
      </w:pPr>
      <w:r>
        <w:rPr/>
        <w:t>- przypisania personelu prowadzącego,</w:t>
      </w:r>
    </w:p>
    <w:p>
      <w:pPr>
        <w:pStyle w:val="ListParagraph"/>
        <w:numPr>
          <w:ilvl w:val="2"/>
          <w:numId w:val="64"/>
        </w:numPr>
        <w:spacing w:lineRule="auto" w:line="259" w:before="0" w:after="160"/>
        <w:contextualSpacing/>
        <w:jc w:val="both"/>
        <w:rPr/>
      </w:pPr>
      <w:r>
        <w:rPr/>
        <w:t>- alergii pacjenta,</w:t>
      </w:r>
    </w:p>
    <w:p>
      <w:pPr>
        <w:pStyle w:val="ListParagraph"/>
        <w:numPr>
          <w:ilvl w:val="2"/>
          <w:numId w:val="64"/>
        </w:numPr>
        <w:spacing w:lineRule="auto" w:line="259" w:before="0" w:after="160"/>
        <w:contextualSpacing/>
        <w:jc w:val="both"/>
        <w:rPr/>
      </w:pPr>
      <w:r>
        <w:rPr/>
        <w:t>- zakażenia pacjenta.</w:t>
      </w:r>
    </w:p>
    <w:p>
      <w:pPr>
        <w:pStyle w:val="ListParagraph"/>
        <w:numPr>
          <w:ilvl w:val="1"/>
          <w:numId w:val="64"/>
        </w:numPr>
        <w:spacing w:lineRule="auto" w:line="259" w:before="0" w:after="160"/>
        <w:contextualSpacing/>
        <w:jc w:val="both"/>
        <w:rPr/>
      </w:pPr>
      <w:r>
        <w:rPr/>
        <w:t>System musi umożliwiać zlecenie oraz zapisanie w trybie roboczym (wybranych z listy wszystkich dostępnych) badań w danej jednostce organizacyjnej.</w:t>
      </w:r>
    </w:p>
    <w:p>
      <w:pPr>
        <w:pStyle w:val="ListParagraph"/>
        <w:numPr>
          <w:ilvl w:val="1"/>
          <w:numId w:val="64"/>
        </w:numPr>
        <w:spacing w:lineRule="auto" w:line="259" w:before="0" w:after="160"/>
        <w:contextualSpacing/>
        <w:jc w:val="both"/>
        <w:rPr/>
      </w:pPr>
      <w:r>
        <w:rPr/>
        <w:t>System musi umożliwiać podczas zlecenia badań wyszukiwanie oraz filtrowanie badań po ich rodzaju/typie.</w:t>
      </w:r>
    </w:p>
    <w:p>
      <w:pPr>
        <w:pStyle w:val="ListParagraph"/>
        <w:numPr>
          <w:ilvl w:val="1"/>
          <w:numId w:val="64"/>
        </w:numPr>
        <w:spacing w:lineRule="auto" w:line="259" w:before="0" w:after="160"/>
        <w:contextualSpacing/>
        <w:jc w:val="both"/>
        <w:rPr/>
      </w:pPr>
      <w:r>
        <w:rPr/>
        <w:t>System musi umożliwiać podczas zlecania badań filtrowanie swoich ulubionych badań oraz preferowanych badań jednostki, gdzie lista ulubionych i preferowanych jest listą wspólną z  systemem HIS.</w:t>
      </w:r>
    </w:p>
    <w:p>
      <w:pPr>
        <w:pStyle w:val="ListParagraph"/>
        <w:numPr>
          <w:ilvl w:val="1"/>
          <w:numId w:val="64"/>
        </w:numPr>
        <w:spacing w:lineRule="auto" w:line="259" w:before="0" w:after="160"/>
        <w:contextualSpacing/>
        <w:jc w:val="both"/>
        <w:rPr/>
      </w:pPr>
      <w:r>
        <w:rPr/>
        <w:t>System musi umożliwiać przegląd, powielenie wybranej oraz ewidencję nowej obserwacji lekarskiej wraz z jej autoryzacją, a także wywołanie formularza dokumentacji, jeżeli takowy został skonfigurowany.</w:t>
      </w:r>
    </w:p>
    <w:p>
      <w:pPr>
        <w:pStyle w:val="ListParagraph"/>
        <w:numPr>
          <w:ilvl w:val="1"/>
          <w:numId w:val="64"/>
        </w:numPr>
        <w:spacing w:lineRule="auto" w:line="259" w:before="0" w:after="160"/>
        <w:contextualSpacing/>
        <w:jc w:val="both"/>
        <w:rPr/>
      </w:pPr>
      <w:r>
        <w:rPr/>
        <w:t>System musi umożliwiać blokowanie możliwości zmiany lekarza wprowadzającego obserwację lekarską na innego użytkownika, niż aktualnie zalogowany, jednocześnie podpowiadając automatycznie dane zalogowanego użytkownika.</w:t>
      </w:r>
    </w:p>
    <w:p>
      <w:pPr>
        <w:pStyle w:val="ListParagraph"/>
        <w:numPr>
          <w:ilvl w:val="1"/>
          <w:numId w:val="64"/>
        </w:numPr>
        <w:spacing w:lineRule="auto" w:line="259" w:before="0" w:after="160"/>
        <w:contextualSpacing/>
        <w:jc w:val="both"/>
        <w:rPr/>
      </w:pPr>
      <w:r>
        <w:rPr/>
        <w:t>System musi umożliwiać uwzględnienie ewidencjonowanej obserwacji lekarskiej w raporcie z dyżuru lekarskiego.</w:t>
      </w:r>
    </w:p>
    <w:p>
      <w:pPr>
        <w:pStyle w:val="ListParagraph"/>
        <w:numPr>
          <w:ilvl w:val="1"/>
          <w:numId w:val="64"/>
        </w:numPr>
        <w:spacing w:lineRule="auto" w:line="259" w:before="0" w:after="160"/>
        <w:contextualSpacing/>
        <w:jc w:val="both"/>
        <w:rPr/>
      </w:pPr>
      <w:r>
        <w:rPr/>
        <w:t>System musi umożliwiać wybranie lub zmianę domyślnie zaproponowanej daty dla której ewidencjonowana jest dana obserwacja/wpis.</w:t>
      </w:r>
    </w:p>
    <w:p>
      <w:pPr>
        <w:pStyle w:val="ListParagraph"/>
        <w:numPr>
          <w:ilvl w:val="1"/>
          <w:numId w:val="64"/>
        </w:numPr>
        <w:spacing w:lineRule="auto" w:line="259" w:before="0" w:after="160"/>
        <w:contextualSpacing/>
        <w:jc w:val="both"/>
        <w:rPr/>
      </w:pPr>
      <w:r>
        <w:rPr/>
        <w:t>System musi zaprezentować informacje o braku zaewidencjonowanej obserwacji na dany dzień.</w:t>
      </w:r>
    </w:p>
    <w:p>
      <w:pPr>
        <w:pStyle w:val="ListParagraph"/>
        <w:numPr>
          <w:ilvl w:val="1"/>
          <w:numId w:val="64"/>
        </w:numPr>
        <w:spacing w:lineRule="auto" w:line="259" w:before="0" w:after="160"/>
        <w:contextualSpacing/>
        <w:jc w:val="both"/>
        <w:rPr/>
      </w:pPr>
      <w:r>
        <w:rPr/>
        <w:t>System musi umożliwiać własną konfigurację domyślnej formy prezentacji kafelka obserwacje lekarskie, jako widok wybrany z dostępnych: lista, lista z podglądem, podgląd pojedynczej obserwacji.</w:t>
      </w:r>
    </w:p>
    <w:p>
      <w:pPr>
        <w:pStyle w:val="ListParagraph"/>
        <w:numPr>
          <w:ilvl w:val="1"/>
          <w:numId w:val="64"/>
        </w:numPr>
        <w:spacing w:lineRule="auto" w:line="259" w:before="0" w:after="160"/>
        <w:contextualSpacing/>
        <w:jc w:val="both"/>
        <w:rPr/>
      </w:pPr>
      <w:r>
        <w:rPr/>
        <w:t>System musi umożliwiać przegląd i ewidencję wywiadu lekarskiego wraz z autoryzacją i obsługą wpisów tymczasowych, a także wywołanie formularza dokumentacji, jeżeli takowy został skonfigurowany.</w:t>
      </w:r>
    </w:p>
    <w:p>
      <w:pPr>
        <w:pStyle w:val="ListParagraph"/>
        <w:numPr>
          <w:ilvl w:val="1"/>
          <w:numId w:val="64"/>
        </w:numPr>
        <w:spacing w:lineRule="auto" w:line="259" w:before="0" w:after="160"/>
        <w:contextualSpacing/>
        <w:jc w:val="both"/>
        <w:rPr/>
      </w:pPr>
      <w:r>
        <w:rPr/>
        <w:t>System musi umożliwiać przegląd i ewidencję badania fizykalnego wraz z autoryzacją i obsługą wpisów tymczasowych, a także wywołanie formularza dokumentacji, jeżeli takowy został skonfigurowany.</w:t>
      </w:r>
    </w:p>
    <w:p>
      <w:pPr>
        <w:pStyle w:val="ListParagraph"/>
        <w:numPr>
          <w:ilvl w:val="1"/>
          <w:numId w:val="64"/>
        </w:numPr>
        <w:spacing w:lineRule="auto" w:line="259" w:before="0" w:after="160"/>
        <w:contextualSpacing/>
        <w:jc w:val="both"/>
        <w:rPr/>
      </w:pPr>
      <w:r>
        <w:rPr/>
        <w:t>System powinien umożliwiać wykorzystanie słownika tekstów standardowych podczas ewidencji dowolnego elementu dokumentacji (minimum obserwacja lekarska, wywiad, badanie fizykalne).</w:t>
      </w:r>
    </w:p>
    <w:p>
      <w:pPr>
        <w:pStyle w:val="ListParagraph"/>
        <w:numPr>
          <w:ilvl w:val="1"/>
          <w:numId w:val="64"/>
        </w:numPr>
        <w:spacing w:lineRule="auto" w:line="259" w:before="0" w:after="160"/>
        <w:contextualSpacing/>
        <w:jc w:val="both"/>
        <w:rPr/>
      </w:pPr>
      <w:r>
        <w:rPr/>
        <w:t>System musi posiadać menu podręczne pozwalające na wywołanie szybkiej akcji dla:</w:t>
      </w:r>
    </w:p>
    <w:p>
      <w:pPr>
        <w:pStyle w:val="ListParagraph"/>
        <w:numPr>
          <w:ilvl w:val="2"/>
          <w:numId w:val="64"/>
        </w:numPr>
        <w:spacing w:lineRule="auto" w:line="259" w:before="0" w:after="160"/>
        <w:contextualSpacing/>
        <w:jc w:val="both"/>
        <w:rPr/>
      </w:pPr>
      <w:r>
        <w:rPr/>
        <w:t>- dodania badania fizykalnego,</w:t>
      </w:r>
    </w:p>
    <w:p>
      <w:pPr>
        <w:pStyle w:val="ListParagraph"/>
        <w:numPr>
          <w:ilvl w:val="2"/>
          <w:numId w:val="64"/>
        </w:numPr>
        <w:spacing w:lineRule="auto" w:line="259" w:before="0" w:after="160"/>
        <w:contextualSpacing/>
        <w:jc w:val="both"/>
        <w:rPr/>
      </w:pPr>
      <w:r>
        <w:rPr/>
        <w:t>- dodania diety,</w:t>
      </w:r>
    </w:p>
    <w:p>
      <w:pPr>
        <w:pStyle w:val="ListParagraph"/>
        <w:numPr>
          <w:ilvl w:val="2"/>
          <w:numId w:val="64"/>
        </w:numPr>
        <w:spacing w:lineRule="auto" w:line="259" w:before="0" w:after="160"/>
        <w:contextualSpacing/>
        <w:jc w:val="both"/>
        <w:rPr/>
      </w:pPr>
      <w:r>
        <w:rPr/>
        <w:t>- dodania obserwacji lekarskiej,</w:t>
      </w:r>
    </w:p>
    <w:p>
      <w:pPr>
        <w:pStyle w:val="ListParagraph"/>
        <w:numPr>
          <w:ilvl w:val="2"/>
          <w:numId w:val="64"/>
        </w:numPr>
        <w:spacing w:lineRule="auto" w:line="259" w:before="0" w:after="160"/>
        <w:contextualSpacing/>
        <w:jc w:val="both"/>
        <w:rPr/>
      </w:pPr>
      <w:r>
        <w:rPr/>
        <w:t>- dodania wywiadu,</w:t>
      </w:r>
    </w:p>
    <w:p>
      <w:pPr>
        <w:pStyle w:val="ListParagraph"/>
        <w:numPr>
          <w:ilvl w:val="2"/>
          <w:numId w:val="64"/>
        </w:numPr>
        <w:spacing w:lineRule="auto" w:line="259" w:before="0" w:after="160"/>
        <w:contextualSpacing/>
        <w:jc w:val="both"/>
        <w:rPr/>
      </w:pPr>
      <w:r>
        <w:rPr/>
        <w:t>- dodania zlecenia badań,</w:t>
      </w:r>
    </w:p>
    <w:p>
      <w:pPr>
        <w:pStyle w:val="ListParagraph"/>
        <w:numPr>
          <w:ilvl w:val="2"/>
          <w:numId w:val="64"/>
        </w:numPr>
        <w:spacing w:lineRule="auto" w:line="259" w:before="0" w:after="160"/>
        <w:contextualSpacing/>
        <w:jc w:val="both"/>
        <w:rPr/>
      </w:pPr>
      <w:r>
        <w:rPr/>
        <w:t>- uruchomienia pełnej dokumentacji medycznej w kontekście pacjenta.</w:t>
      </w:r>
    </w:p>
    <w:p>
      <w:pPr>
        <w:pStyle w:val="ListParagraph"/>
        <w:numPr>
          <w:ilvl w:val="1"/>
          <w:numId w:val="64"/>
        </w:numPr>
        <w:spacing w:lineRule="auto" w:line="259" w:before="0" w:after="160"/>
        <w:contextualSpacing/>
        <w:jc w:val="both"/>
        <w:rPr/>
      </w:pPr>
      <w:r>
        <w:rPr/>
        <w:t>System musi umożliwiać ciągły dostęp do danych podczas ewidencji zleceń, obserwacji lekarskiej ,wywiadu, badania fizykalnego, diety. Jako ciągły dostęp do danych rozumiana jest możliwość przeglądu zawartości, kopiowania treści oraz uszczegóławiania elementów, dla których dostępne są szczegóły (np. wyświetlenie historycznych wartości glikemii (trend zmian) jako uszczegółowienie najnowszej wartości).</w:t>
      </w:r>
    </w:p>
    <w:p>
      <w:pPr>
        <w:pStyle w:val="ListParagraph"/>
        <w:numPr>
          <w:ilvl w:val="1"/>
          <w:numId w:val="64"/>
        </w:numPr>
        <w:spacing w:lineRule="auto" w:line="259" w:before="0" w:after="160"/>
        <w:contextualSpacing/>
        <w:jc w:val="both"/>
        <w:rPr/>
      </w:pPr>
      <w:r>
        <w:rPr/>
        <w:t>System musi umożliwiać zaprezentowanie na kafelku w sposób skumulowany danych o pacjencie takich jak uczulenia, stale przyjmowane leki, szczepienia, przebyte choroby, wywiad ogólny, informacje o grupie krwi pacjenta oraz groźnym wirusie lub bakterii. System musi umożliwiać kontekstowe wywołanie w tym zakresie systemu HIS. System musi umożliwiać użytkownikowi personalizację kafelka poprzez włączenie/wyłączenie widoczności wybranych obszarów kafelka.</w:t>
      </w:r>
    </w:p>
    <w:p>
      <w:pPr>
        <w:pStyle w:val="ListParagraph"/>
        <w:numPr>
          <w:ilvl w:val="1"/>
          <w:numId w:val="64"/>
        </w:numPr>
        <w:spacing w:lineRule="auto" w:line="259" w:before="0" w:after="160"/>
        <w:contextualSpacing/>
        <w:jc w:val="both"/>
        <w:rPr/>
      </w:pPr>
      <w:r>
        <w:rPr/>
        <w:t>System musi umożliwiać dostęp do dokumentacji medycznej poprzez kafelek, na którym zaprezentowana jest lista dokumentów, ograniczona do swoich ulubionych wraz z możliwością konfigurowania takiej listy oraz ułożenia jej wg własnej kolejności.</w:t>
      </w:r>
    </w:p>
    <w:p>
      <w:pPr>
        <w:pStyle w:val="ListParagraph"/>
        <w:numPr>
          <w:ilvl w:val="1"/>
          <w:numId w:val="64"/>
        </w:numPr>
        <w:spacing w:lineRule="auto" w:line="259" w:before="0" w:after="160"/>
        <w:contextualSpacing/>
        <w:jc w:val="both"/>
        <w:rPr/>
      </w:pPr>
      <w:r>
        <w:rPr/>
        <w:t>System musi umożliwiać w konfiguracji kafelka dokumentacji  wyszukiwanie dokumentów wg nazwy oraz prezentować dokumenty w sposób hierarchiczny.</w:t>
      </w:r>
    </w:p>
    <w:p>
      <w:pPr>
        <w:pStyle w:val="ListParagraph"/>
        <w:numPr>
          <w:ilvl w:val="1"/>
          <w:numId w:val="64"/>
        </w:numPr>
        <w:spacing w:lineRule="auto" w:line="259" w:before="0" w:after="160"/>
        <w:contextualSpacing/>
        <w:jc w:val="both"/>
        <w:rPr/>
      </w:pPr>
      <w:r>
        <w:rPr/>
        <w:t>System musi informować w sposób graficzny o pojawieniu się nowych wyników badań z podziałem na laboratoryjne, mikrobiologiczne, diagnostyczne, histopatologiczne na grupowej liście pacjentów.   Informacja o nowym wyniku powinna być widoczna tylko do momentu uruchomienia pulpitu pacjenta, na którym zaprezentowane są niniejsze wyniki.</w:t>
      </w:r>
    </w:p>
    <w:p>
      <w:pPr>
        <w:pStyle w:val="ListParagraph"/>
        <w:numPr>
          <w:ilvl w:val="1"/>
          <w:numId w:val="64"/>
        </w:numPr>
        <w:spacing w:lineRule="auto" w:line="259" w:before="0" w:after="160"/>
        <w:contextualSpacing/>
        <w:jc w:val="both"/>
        <w:rPr/>
      </w:pPr>
      <w:r>
        <w:rPr/>
        <w:t>System musi udostępniać dla użytkownika konfiguracje powiadomień graficznych z możliwością wyboru jakie powiadomienia graficzne mają być zaprezentowane na listach zbiorczych pacjentów.</w:t>
      </w:r>
    </w:p>
    <w:p>
      <w:pPr>
        <w:pStyle w:val="ListParagraph"/>
        <w:numPr>
          <w:ilvl w:val="1"/>
          <w:numId w:val="64"/>
        </w:numPr>
        <w:spacing w:lineRule="auto" w:line="259" w:before="0" w:after="160"/>
        <w:contextualSpacing/>
        <w:jc w:val="both"/>
        <w:rPr/>
      </w:pPr>
      <w:r>
        <w:rPr/>
        <w:t>System musi umożliwiać przegląd najnowszych danych szczegółowych wybranego pacjenta w zakresie pomiarów.</w:t>
      </w:r>
    </w:p>
    <w:p>
      <w:pPr>
        <w:pStyle w:val="ListParagraph"/>
        <w:numPr>
          <w:ilvl w:val="1"/>
          <w:numId w:val="64"/>
        </w:numPr>
        <w:spacing w:lineRule="auto" w:line="259" w:before="0" w:after="160"/>
        <w:contextualSpacing/>
        <w:jc w:val="both"/>
        <w:rPr/>
      </w:pPr>
      <w:r>
        <w:rPr/>
        <w:t>System musi umożliwiać własną konfigurację kafelka z pomiarami w zakresie wyboru prezentacji danych z podziałem na pomiary i wskaźniki, tylko pomiary lub tylko wskaźniki.</w:t>
      </w:r>
    </w:p>
    <w:p>
      <w:pPr>
        <w:pStyle w:val="ListParagraph"/>
        <w:numPr>
          <w:ilvl w:val="1"/>
          <w:numId w:val="64"/>
        </w:numPr>
        <w:spacing w:lineRule="auto" w:line="259" w:before="0" w:after="160"/>
        <w:contextualSpacing/>
        <w:jc w:val="both"/>
        <w:rPr/>
      </w:pPr>
      <w:r>
        <w:rPr/>
        <w:t>System musi umożliwiać własną konfigurację kafelka z podstawowymi pomiarami w zakresie wyświetlania na wykresie ciśnienia tętniczego, temperatury/tętna, notatek.</w:t>
      </w:r>
    </w:p>
    <w:p>
      <w:pPr>
        <w:pStyle w:val="ListParagraph"/>
        <w:numPr>
          <w:ilvl w:val="1"/>
          <w:numId w:val="64"/>
        </w:numPr>
        <w:spacing w:lineRule="auto" w:line="259" w:before="0" w:after="160"/>
        <w:contextualSpacing/>
        <w:jc w:val="both"/>
        <w:rPr/>
      </w:pPr>
      <w:r>
        <w:rPr/>
        <w:t>System musi umożliwić przegląd najnowszych danych szczegółowych wybranego pacjenta w zakresie leków.</w:t>
      </w:r>
    </w:p>
    <w:p>
      <w:pPr>
        <w:pStyle w:val="ListParagraph"/>
        <w:numPr>
          <w:ilvl w:val="1"/>
          <w:numId w:val="64"/>
        </w:numPr>
        <w:spacing w:lineRule="auto" w:line="259" w:before="0" w:after="160"/>
        <w:contextualSpacing/>
        <w:jc w:val="both"/>
        <w:rPr/>
      </w:pPr>
      <w:r>
        <w:rPr/>
        <w:t>System musi umożliwiać własną konfigurację kafelka z lekami w zakresie zmiany prezentacji:</w:t>
      </w:r>
    </w:p>
    <w:p>
      <w:pPr>
        <w:pStyle w:val="ListParagraph"/>
        <w:numPr>
          <w:ilvl w:val="2"/>
          <w:numId w:val="64"/>
        </w:numPr>
        <w:spacing w:lineRule="auto" w:line="259" w:before="0" w:after="160"/>
        <w:contextualSpacing/>
        <w:jc w:val="both"/>
        <w:rPr/>
      </w:pPr>
      <w:r>
        <w:rPr/>
        <w:t>- domyślnie wyświetlanego trybu kafelka na tryb listy leków lub listy leków z podaniami,</w:t>
      </w:r>
    </w:p>
    <w:p>
      <w:pPr>
        <w:pStyle w:val="ListParagraph"/>
        <w:numPr>
          <w:ilvl w:val="2"/>
          <w:numId w:val="64"/>
        </w:numPr>
        <w:spacing w:lineRule="auto" w:line="259" w:before="0" w:after="160"/>
        <w:contextualSpacing/>
        <w:jc w:val="both"/>
        <w:rPr/>
      </w:pPr>
      <w:r>
        <w:rPr/>
        <w:t>- danych na zlecenia i podania zaewidencjonowane bez zleceń, zlecenia, podania zaewidencjonowane bez zleceń,</w:t>
      </w:r>
    </w:p>
    <w:p>
      <w:pPr>
        <w:pStyle w:val="ListParagraph"/>
        <w:numPr>
          <w:ilvl w:val="2"/>
          <w:numId w:val="64"/>
        </w:numPr>
        <w:spacing w:lineRule="auto" w:line="259" w:before="0" w:after="160"/>
        <w:contextualSpacing/>
        <w:jc w:val="both"/>
        <w:rPr/>
      </w:pPr>
      <w:r>
        <w:rPr/>
        <w:t>- wyświetlania leków i materiałów lub tylko leków,</w:t>
      </w:r>
    </w:p>
    <w:p>
      <w:pPr>
        <w:pStyle w:val="ListParagraph"/>
        <w:numPr>
          <w:ilvl w:val="2"/>
          <w:numId w:val="64"/>
        </w:numPr>
        <w:spacing w:lineRule="auto" w:line="259" w:before="0" w:after="160"/>
        <w:contextualSpacing/>
        <w:jc w:val="both"/>
        <w:rPr/>
      </w:pPr>
      <w:r>
        <w:rPr/>
        <w:t>- wyświetlania nazwy leków w zależności od wyboru użytkownika jako: nazwy handlowe, nazwy międzynarodowe lub nazwy skrócone.</w:t>
      </w:r>
    </w:p>
    <w:p>
      <w:pPr>
        <w:pStyle w:val="ListParagraph"/>
        <w:numPr>
          <w:ilvl w:val="1"/>
          <w:numId w:val="64"/>
        </w:numPr>
        <w:spacing w:lineRule="auto" w:line="259" w:before="0" w:after="160"/>
        <w:contextualSpacing/>
        <w:jc w:val="both"/>
        <w:rPr/>
      </w:pPr>
      <w:r>
        <w:rPr/>
        <w:t>System musi umożliwić przegląd najnowszych danych szczegółowych wybranego pacjenta w zakresie badań diagnostycznych.</w:t>
      </w:r>
    </w:p>
    <w:p>
      <w:pPr>
        <w:pStyle w:val="ListParagraph"/>
        <w:numPr>
          <w:ilvl w:val="1"/>
          <w:numId w:val="64"/>
        </w:numPr>
        <w:spacing w:lineRule="auto" w:line="259" w:before="0" w:after="160"/>
        <w:contextualSpacing/>
        <w:jc w:val="both"/>
        <w:rPr/>
      </w:pPr>
      <w:r>
        <w:rPr/>
        <w:t>System musi umożliwiać w konfiguracji kafelka badań diagnostycznych w zakresie zmiany prezentacji domyślnie:</w:t>
      </w:r>
    </w:p>
    <w:p>
      <w:pPr>
        <w:pStyle w:val="ListParagraph"/>
        <w:numPr>
          <w:ilvl w:val="2"/>
          <w:numId w:val="64"/>
        </w:numPr>
        <w:spacing w:lineRule="auto" w:line="259" w:before="0" w:after="160"/>
        <w:contextualSpacing/>
        <w:jc w:val="both"/>
        <w:rPr/>
      </w:pPr>
      <w:r>
        <w:rPr/>
        <w:t>- wyświetlanego trybu kafelka na widok listy, widok listy z podglądem lub samego podglądu,</w:t>
      </w:r>
    </w:p>
    <w:p>
      <w:pPr>
        <w:pStyle w:val="ListParagraph"/>
        <w:numPr>
          <w:ilvl w:val="2"/>
          <w:numId w:val="64"/>
        </w:numPr>
        <w:spacing w:lineRule="auto" w:line="259" w:before="0" w:after="160"/>
        <w:contextualSpacing/>
        <w:jc w:val="both"/>
        <w:rPr/>
      </w:pPr>
      <w:r>
        <w:rPr/>
        <w:t>- wyświetlanych danych na wyniki i zlecenia, wyniki, zlecenia,</w:t>
      </w:r>
    </w:p>
    <w:p>
      <w:pPr>
        <w:pStyle w:val="ListParagraph"/>
        <w:numPr>
          <w:ilvl w:val="2"/>
          <w:numId w:val="64"/>
        </w:numPr>
        <w:spacing w:lineRule="auto" w:line="259" w:before="0" w:after="160"/>
        <w:contextualSpacing/>
        <w:jc w:val="both"/>
        <w:rPr/>
      </w:pPr>
      <w:r>
        <w:rPr/>
        <w:t>- wyświetlanych rodzajów badań na diagnostyczne i histopatologiczne, tylko diagnostyczne, tylko histopatologiczne.</w:t>
      </w:r>
    </w:p>
    <w:p>
      <w:pPr>
        <w:pStyle w:val="ListParagraph"/>
        <w:numPr>
          <w:ilvl w:val="1"/>
          <w:numId w:val="64"/>
        </w:numPr>
        <w:spacing w:lineRule="auto" w:line="259" w:before="0" w:after="160"/>
        <w:contextualSpacing/>
        <w:jc w:val="both"/>
        <w:rPr/>
      </w:pPr>
      <w:r>
        <w:rPr/>
        <w:t>System musi umożliwić przegląd najnowszych danych szczegółowych wybranego pacjenta w zakresie badań laboratoryjnych.</w:t>
      </w:r>
    </w:p>
    <w:p>
      <w:pPr>
        <w:pStyle w:val="ListParagraph"/>
        <w:numPr>
          <w:ilvl w:val="1"/>
          <w:numId w:val="64"/>
        </w:numPr>
        <w:spacing w:lineRule="auto" w:line="259" w:before="0" w:after="160"/>
        <w:contextualSpacing/>
        <w:jc w:val="both"/>
        <w:rPr/>
      </w:pPr>
      <w:r>
        <w:rPr/>
        <w:t>System musi umożliwiać w konfiguracji kafelka badań laboratoryjnych w zakresie zmiany prezentacji domyślnie wyświetlanego:</w:t>
      </w:r>
    </w:p>
    <w:p>
      <w:pPr>
        <w:pStyle w:val="ListParagraph"/>
        <w:numPr>
          <w:ilvl w:val="2"/>
          <w:numId w:val="64"/>
        </w:numPr>
        <w:spacing w:lineRule="auto" w:line="259" w:before="0" w:after="160"/>
        <w:contextualSpacing/>
        <w:jc w:val="both"/>
        <w:rPr/>
      </w:pPr>
      <w:r>
        <w:rPr/>
        <w:t>- zakresu danych na wyniki i zlecenia, wyniki, zlecenia,</w:t>
      </w:r>
    </w:p>
    <w:p>
      <w:pPr>
        <w:pStyle w:val="ListParagraph"/>
        <w:numPr>
          <w:ilvl w:val="2"/>
          <w:numId w:val="64"/>
        </w:numPr>
        <w:spacing w:lineRule="auto" w:line="259" w:before="0" w:after="160"/>
        <w:contextualSpacing/>
        <w:jc w:val="both"/>
        <w:rPr/>
      </w:pPr>
      <w:r>
        <w:rPr/>
        <w:t>- rodzaju badań na laboratoryjne i mikrobiologiczne, tylko laboratoryjne, tylko mikrobiologiczne.</w:t>
      </w:r>
    </w:p>
    <w:p>
      <w:pPr>
        <w:pStyle w:val="ListParagraph"/>
        <w:numPr>
          <w:ilvl w:val="1"/>
          <w:numId w:val="64"/>
        </w:numPr>
        <w:spacing w:lineRule="auto" w:line="259" w:before="0" w:after="160"/>
        <w:contextualSpacing/>
        <w:jc w:val="both"/>
        <w:rPr/>
      </w:pPr>
      <w:r>
        <w:rPr/>
        <w:t>System musi umożliwić przegląd najnowszych danych szczegółowych wybranego pacjenta w zakresie odbytych oraz zleconych konsultacji.</w:t>
      </w:r>
    </w:p>
    <w:p>
      <w:pPr>
        <w:pStyle w:val="ListParagraph"/>
        <w:numPr>
          <w:ilvl w:val="1"/>
          <w:numId w:val="64"/>
        </w:numPr>
        <w:spacing w:lineRule="auto" w:line="259" w:before="0" w:after="160"/>
        <w:contextualSpacing/>
        <w:jc w:val="both"/>
        <w:rPr/>
      </w:pPr>
      <w:r>
        <w:rPr/>
        <w:t>System musi umożliwiać w konfiguracji kafelka z konsultacjami w zakresie zmiany prezentacji domyślnie ustawionego:</w:t>
      </w:r>
    </w:p>
    <w:p>
      <w:pPr>
        <w:pStyle w:val="ListParagraph"/>
        <w:numPr>
          <w:ilvl w:val="2"/>
          <w:numId w:val="64"/>
        </w:numPr>
        <w:spacing w:lineRule="auto" w:line="259" w:before="0" w:after="160"/>
        <w:contextualSpacing/>
        <w:jc w:val="both"/>
        <w:rPr/>
      </w:pPr>
      <w:r>
        <w:rPr/>
        <w:t>- trybu na listę, listę z podglądem, podgląd,</w:t>
      </w:r>
    </w:p>
    <w:p>
      <w:pPr>
        <w:pStyle w:val="ListParagraph"/>
        <w:numPr>
          <w:ilvl w:val="2"/>
          <w:numId w:val="64"/>
        </w:numPr>
        <w:spacing w:lineRule="auto" w:line="259" w:before="0" w:after="160"/>
        <w:contextualSpacing/>
        <w:jc w:val="both"/>
        <w:rPr/>
      </w:pPr>
      <w:r>
        <w:rPr/>
        <w:t>- zakresu danych na wyniki i zlecenia, wyniki, zlecenia.</w:t>
      </w:r>
    </w:p>
    <w:p>
      <w:pPr>
        <w:pStyle w:val="ListParagraph"/>
        <w:numPr>
          <w:ilvl w:val="1"/>
          <w:numId w:val="64"/>
        </w:numPr>
        <w:spacing w:lineRule="auto" w:line="259" w:before="0" w:after="160"/>
        <w:contextualSpacing/>
        <w:jc w:val="both"/>
        <w:rPr/>
      </w:pPr>
      <w:r>
        <w:rPr/>
        <w:t>System musi umożliwić przegląd najnowszych danych szczegółowych wybranego pacjenta w zakresie odbytych oraz zleconych operacji oraz zabiegów.</w:t>
      </w:r>
    </w:p>
    <w:p>
      <w:pPr>
        <w:pStyle w:val="ListParagraph"/>
        <w:numPr>
          <w:ilvl w:val="1"/>
          <w:numId w:val="64"/>
        </w:numPr>
        <w:spacing w:lineRule="auto" w:line="259" w:before="0" w:after="160"/>
        <w:contextualSpacing/>
        <w:jc w:val="both"/>
        <w:rPr/>
      </w:pPr>
      <w:r>
        <w:rPr/>
        <w:t>System musi umożliwiać w konfiguracji kafelka z operacjami i zabiegami w zakresie prezentacji domyślnie ustawionego:</w:t>
      </w:r>
    </w:p>
    <w:p>
      <w:pPr>
        <w:pStyle w:val="ListParagraph"/>
        <w:numPr>
          <w:ilvl w:val="2"/>
          <w:numId w:val="64"/>
        </w:numPr>
        <w:spacing w:lineRule="auto" w:line="259" w:before="0" w:after="160"/>
        <w:contextualSpacing/>
        <w:jc w:val="both"/>
        <w:rPr/>
      </w:pPr>
      <w:r>
        <w:rPr/>
        <w:t>- trybu na listę, listę z podglądem, podglądu,</w:t>
      </w:r>
    </w:p>
    <w:p>
      <w:pPr>
        <w:pStyle w:val="ListParagraph"/>
        <w:numPr>
          <w:ilvl w:val="2"/>
          <w:numId w:val="64"/>
        </w:numPr>
        <w:spacing w:lineRule="auto" w:line="259" w:before="0" w:after="160"/>
        <w:contextualSpacing/>
        <w:jc w:val="both"/>
        <w:rPr/>
      </w:pPr>
      <w:r>
        <w:rPr/>
        <w:t>- zakresu danych na wyniki i zlecenia, wyniki, zlecenia.</w:t>
      </w:r>
    </w:p>
    <w:p>
      <w:pPr>
        <w:pStyle w:val="ListParagraph"/>
        <w:numPr>
          <w:ilvl w:val="1"/>
          <w:numId w:val="64"/>
        </w:numPr>
        <w:spacing w:lineRule="auto" w:line="259" w:before="0" w:after="160"/>
        <w:contextualSpacing/>
        <w:jc w:val="both"/>
        <w:rPr/>
      </w:pPr>
      <w:r>
        <w:rPr/>
        <w:t>System musi umożliwić przegląd najnowszych danych szczegółowych wybranego pacjenta w zakresie bilansu płynów.</w:t>
      </w:r>
    </w:p>
    <w:p>
      <w:pPr>
        <w:pStyle w:val="ListParagraph"/>
        <w:numPr>
          <w:ilvl w:val="1"/>
          <w:numId w:val="64"/>
        </w:numPr>
        <w:spacing w:lineRule="auto" w:line="259" w:before="0" w:after="160"/>
        <w:contextualSpacing/>
        <w:jc w:val="both"/>
        <w:rPr/>
      </w:pPr>
      <w:r>
        <w:rPr/>
        <w:t>System musi umożliwiać w konfiguracji kafelka bilansu płynów w zakresie zmiany prezentacji danych na pokazywanie wartości pomiarów z poprzedniego okresu lub pokazywaniu różnicy w stosunku do poprzedniego okresu.</w:t>
      </w:r>
    </w:p>
    <w:p>
      <w:pPr>
        <w:pStyle w:val="ListParagraph"/>
        <w:numPr>
          <w:ilvl w:val="1"/>
          <w:numId w:val="64"/>
        </w:numPr>
        <w:spacing w:lineRule="auto" w:line="259" w:before="0" w:after="160"/>
        <w:contextualSpacing/>
        <w:jc w:val="both"/>
        <w:rPr/>
      </w:pPr>
      <w:r>
        <w:rPr/>
        <w:t>System musi umożliwiać zaprezentowanie na kafelku pomiarów tętna pochodzących z urządzenia zewnętrznego (np. opaski) w formie wykresu oraz tabeli, wraz z rozróżnieniem statusu danego pomiaru (przeniesiony do pobytu, aktualny (nieprzeniesiony), usunięty). W ramach kafelka powinna istnieć możliwość przenoszenia wybranych pomiarów do pobytu pacjenta oraz usuwania wybranych z tymczasowego bufora dla pomiarów zewnętrznych (nie podpiętych do pobytu).</w:t>
      </w:r>
    </w:p>
    <w:p>
      <w:pPr>
        <w:pStyle w:val="ListParagraph"/>
        <w:numPr>
          <w:ilvl w:val="1"/>
          <w:numId w:val="64"/>
        </w:numPr>
        <w:spacing w:lineRule="auto" w:line="259" w:before="0" w:after="160"/>
        <w:contextualSpacing/>
        <w:jc w:val="both"/>
        <w:rPr/>
      </w:pPr>
      <w:r>
        <w:rPr/>
        <w:t>System musi umożliwiać własną konfiguracje kafelka z pomiarami zewnętrznymi w zakresie zmiany prezentacji domyślnie wyświetlanego trybu kafelka na widok wykresu lub tabeli.</w:t>
      </w:r>
    </w:p>
    <w:p>
      <w:pPr>
        <w:pStyle w:val="ListParagraph"/>
        <w:numPr>
          <w:ilvl w:val="1"/>
          <w:numId w:val="64"/>
        </w:numPr>
        <w:spacing w:lineRule="auto" w:line="259" w:before="0" w:after="160"/>
        <w:contextualSpacing/>
        <w:jc w:val="both"/>
        <w:rPr/>
      </w:pPr>
      <w:r>
        <w:rPr/>
        <w:t>System musi umożliwiać prezentację danych o wprowadzonych obserwacjach/przebiegach pielęgniarskich.</w:t>
      </w:r>
    </w:p>
    <w:p>
      <w:pPr>
        <w:pStyle w:val="Normal"/>
        <w:tabs>
          <w:tab w:val="clear" w:pos="708"/>
          <w:tab w:val="left" w:pos="993" w:leader="none"/>
        </w:tabs>
        <w:jc w:val="both"/>
        <w:rPr/>
      </w:pPr>
      <w:r>
        <w:rPr/>
      </w:r>
    </w:p>
    <w:p>
      <w:pPr>
        <w:pStyle w:val="Normal"/>
        <w:numPr>
          <w:ilvl w:val="0"/>
          <w:numId w:val="59"/>
        </w:numPr>
        <w:tabs>
          <w:tab w:val="clear" w:pos="708"/>
          <w:tab w:val="left" w:pos="993" w:leader="none"/>
        </w:tabs>
        <w:spacing w:lineRule="auto" w:line="259" w:before="0" w:after="160"/>
        <w:rPr/>
      </w:pPr>
      <w:r>
        <w:rPr>
          <w:b/>
          <w:bCs/>
        </w:rPr>
        <w:t>Wewnętrzne integracje:</w:t>
      </w:r>
    </w:p>
    <w:p>
      <w:pPr>
        <w:pStyle w:val="ListParagraph"/>
        <w:numPr>
          <w:ilvl w:val="1"/>
          <w:numId w:val="59"/>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59"/>
        </w:numPr>
        <w:tabs>
          <w:tab w:val="clear" w:pos="708"/>
          <w:tab w:val="left" w:pos="993" w:leader="none"/>
        </w:tabs>
        <w:spacing w:lineRule="auto" w:line="259" w:before="0" w:after="160"/>
        <w:contextualSpacing/>
        <w:jc w:val="both"/>
        <w:rPr/>
      </w:pPr>
      <w:r>
        <w:rPr/>
        <w:t>- danych osobowych,</w:t>
      </w:r>
    </w:p>
    <w:p>
      <w:pPr>
        <w:pStyle w:val="ListParagraph"/>
        <w:numPr>
          <w:ilvl w:val="2"/>
          <w:numId w:val="59"/>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59"/>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59"/>
        </w:numPr>
        <w:tabs>
          <w:tab w:val="clear" w:pos="708"/>
          <w:tab w:val="left" w:pos="993" w:leader="none"/>
        </w:tabs>
        <w:spacing w:lineRule="auto" w:line="259" w:before="0" w:after="160"/>
        <w:contextualSpacing/>
        <w:jc w:val="both"/>
        <w:rPr/>
      </w:pPr>
      <w:r>
        <w:rPr/>
        <w:t>- diet, przebiegów pielęgniarskich, diagnoz pielęgniarskich, procedur, innych (pozostałych) zleceń pielęgniarskich,</w:t>
      </w:r>
    </w:p>
    <w:p>
      <w:pPr>
        <w:pStyle w:val="ListParagraph"/>
        <w:numPr>
          <w:ilvl w:val="2"/>
          <w:numId w:val="59"/>
        </w:numPr>
        <w:tabs>
          <w:tab w:val="clear" w:pos="708"/>
          <w:tab w:val="left" w:pos="993" w:leader="none"/>
        </w:tabs>
        <w:spacing w:lineRule="auto" w:line="259" w:before="0" w:after="160"/>
        <w:contextualSpacing/>
        <w:jc w:val="both"/>
        <w:rPr/>
      </w:pPr>
      <w:r>
        <w:rPr/>
        <w:t>- dokumentacji medycznej oraz kart pomocniczych.</w:t>
      </w:r>
    </w:p>
    <w:p>
      <w:pPr>
        <w:pStyle w:val="ListParagraph"/>
        <w:numPr>
          <w:ilvl w:val="1"/>
          <w:numId w:val="59"/>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Normal"/>
        <w:numPr>
          <w:ilvl w:val="1"/>
          <w:numId w:val="59"/>
        </w:numPr>
        <w:tabs>
          <w:tab w:val="clear" w:pos="708"/>
          <w:tab w:val="left" w:pos="993" w:leader="none"/>
        </w:tabs>
        <w:spacing w:lineRule="auto" w:line="259" w:before="0" w:after="160"/>
        <w:jc w:val="both"/>
        <w:rPr/>
      </w:pPr>
      <w:r>
        <w:rPr/>
        <w:t>Pulpit prezentuje dane zgromadzone w systemie HIS, bez konieczności jego uruchamiania oraz przełączania modułów tego systemu.</w:t>
      </w:r>
    </w:p>
    <w:p>
      <w:pPr>
        <w:pStyle w:val="Normal"/>
        <w:numPr>
          <w:ilvl w:val="1"/>
          <w:numId w:val="59"/>
        </w:numPr>
        <w:tabs>
          <w:tab w:val="clear" w:pos="708"/>
          <w:tab w:val="left" w:pos="993" w:leader="none"/>
        </w:tabs>
        <w:spacing w:lineRule="auto" w:line="259" w:before="0" w:after="160"/>
        <w:jc w:val="both"/>
        <w:rPr/>
      </w:pPr>
      <w:r>
        <w:rPr/>
        <w:t>Informacje tego samego typu, ewidencjonowane w ramach Pulpitu Lekarskiego dostępne są w modułach systemu HIS oraz innych pulpitach z rodziny Pulpitów medycznych. Przykładowo obserwacja lekarska dla pobytu pacjenta wprowadzona w Pulpicie Lekarskim dostępna jest w module Oddział systemu HIS. Dane dostępne są we wszystkich miejscach ich występowania w czasie rzeczywistym (nie wymagają dodatkowych synchronizacji).</w:t>
      </w:r>
    </w:p>
    <w:p>
      <w:pPr>
        <w:pStyle w:val="Normal"/>
        <w:numPr>
          <w:ilvl w:val="1"/>
          <w:numId w:val="59"/>
        </w:numPr>
        <w:tabs>
          <w:tab w:val="clear" w:pos="708"/>
          <w:tab w:val="left" w:pos="993" w:leader="none"/>
        </w:tabs>
        <w:spacing w:lineRule="auto" w:line="259" w:before="0" w:after="160"/>
        <w:jc w:val="both"/>
        <w:rPr/>
      </w:pPr>
      <w:r>
        <w:rPr/>
        <w:t>Moduł posiada wspólną bazę użytkowników z systemem HIS.</w:t>
      </w:r>
    </w:p>
    <w:p>
      <w:pPr>
        <w:pStyle w:val="Normal"/>
        <w:tabs>
          <w:tab w:val="clear" w:pos="708"/>
          <w:tab w:val="left" w:pos="993" w:leader="none"/>
        </w:tabs>
        <w:jc w:val="both"/>
        <w:rPr/>
      </w:pPr>
      <w:r>
        <w:rPr/>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Normal"/>
        <w:numPr>
          <w:ilvl w:val="1"/>
          <w:numId w:val="59"/>
        </w:numPr>
        <w:tabs>
          <w:tab w:val="clear" w:pos="708"/>
          <w:tab w:val="left" w:pos="993" w:leader="none"/>
        </w:tabs>
        <w:spacing w:lineRule="auto" w:line="259" w:before="0" w:after="160"/>
        <w:jc w:val="both"/>
        <w:rPr/>
      </w:pPr>
      <w:r>
        <w:rPr/>
        <w:t>Pierwsze uruchomienie produktu poprzedzone powinno być konfiguracją systemu HIS minimum w zakresie parametrów opisanych w instrukcji użytkownika dla modułu Pulpity Medyczne.</w:t>
      </w:r>
    </w:p>
    <w:p>
      <w:pPr>
        <w:pStyle w:val="ListParagraph"/>
        <w:numPr>
          <w:ilvl w:val="1"/>
          <w:numId w:val="59"/>
        </w:numPr>
        <w:tabs>
          <w:tab w:val="clear" w:pos="708"/>
          <w:tab w:val="left" w:pos="993" w:leader="none"/>
        </w:tabs>
        <w:spacing w:lineRule="auto" w:line="259" w:before="0" w:after="160"/>
        <w:contextualSpacing/>
        <w:jc w:val="both"/>
        <w:rPr/>
      </w:pPr>
      <w:r>
        <w:rPr/>
        <w:t>Lista ulubionych i preferowanych badań podczas zlecania jest listą wspólną z systemem HIS.</w:t>
      </w:r>
    </w:p>
    <w:p>
      <w:pPr>
        <w:pStyle w:val="Normal"/>
        <w:numPr>
          <w:ilvl w:val="1"/>
          <w:numId w:val="59"/>
        </w:numPr>
        <w:tabs>
          <w:tab w:val="clear" w:pos="708"/>
          <w:tab w:val="left" w:pos="993" w:leader="none"/>
        </w:tabs>
        <w:spacing w:lineRule="auto" w:line="259" w:before="0" w:after="160"/>
        <w:rPr/>
      </w:pPr>
      <w:r>
        <w:rPr/>
        <w:t>Moduł korzysta z wspólnej bazy danych z systemem HIS.</w:t>
      </w:r>
    </w:p>
    <w:p>
      <w:pPr>
        <w:pStyle w:val="ListParagraph"/>
        <w:pBdr>
          <w:bottom w:val="single" w:sz="12" w:space="1" w:color="000000"/>
        </w:pBdr>
        <w:spacing w:lineRule="auto" w:line="240"/>
        <w:ind w:left="0"/>
        <w:jc w:val="both"/>
        <w:rPr>
          <w:b/>
          <w:bCs/>
          <w:sz w:val="28"/>
          <w:szCs w:val="24"/>
        </w:rPr>
      </w:pPr>
      <w:r>
        <w:rPr>
          <w:b/>
          <w:sz w:val="28"/>
          <w:szCs w:val="28"/>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left="720"/>
        <w:jc w:val="both"/>
        <w:rPr/>
      </w:pPr>
      <w:r>
        <w:rPr/>
        <w:t>Produkt zostanie uznany za zgodny funkcjonalnie, jeśli:</w:t>
      </w:r>
    </w:p>
    <w:p>
      <w:pPr>
        <w:pStyle w:val="Normal"/>
        <w:numPr>
          <w:ilvl w:val="0"/>
          <w:numId w:val="62"/>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62"/>
        </w:numPr>
        <w:tabs>
          <w:tab w:val="clear" w:pos="708"/>
          <w:tab w:val="left" w:pos="993" w:leader="none"/>
        </w:tabs>
        <w:spacing w:lineRule="auto" w:line="259" w:before="0" w:after="160"/>
        <w:jc w:val="both"/>
        <w:rPr/>
      </w:pPr>
      <w:r>
        <w:rPr/>
        <w:t>Zawiera w pełni działające mechanizmy filtrowania danych pacjentów według sal, przypisanego personelu oraz innych zdefiniowanych parametrów.</w:t>
      </w:r>
    </w:p>
    <w:p>
      <w:pPr>
        <w:pStyle w:val="Normal"/>
        <w:numPr>
          <w:ilvl w:val="0"/>
          <w:numId w:val="62"/>
        </w:numPr>
        <w:tabs>
          <w:tab w:val="clear" w:pos="708"/>
          <w:tab w:val="left" w:pos="993" w:leader="none"/>
        </w:tabs>
        <w:spacing w:lineRule="auto" w:line="259" w:before="0" w:after="160"/>
        <w:jc w:val="both"/>
        <w:rPr/>
      </w:pPr>
      <w:r>
        <w:rPr/>
        <w:t>Obsługuje pełny cykl dokumentacji medycznej (obserwacje, wywiady, badania, autoryzacje) zgodnie z opisanymi procesami.</w:t>
      </w:r>
    </w:p>
    <w:p>
      <w:pPr>
        <w:pStyle w:val="Normal"/>
        <w:numPr>
          <w:ilvl w:val="0"/>
          <w:numId w:val="62"/>
        </w:numPr>
        <w:tabs>
          <w:tab w:val="clear" w:pos="708"/>
          <w:tab w:val="left" w:pos="993" w:leader="none"/>
        </w:tabs>
        <w:spacing w:lineRule="auto" w:line="259" w:before="0" w:after="160"/>
        <w:jc w:val="both"/>
        <w:rPr/>
      </w:pPr>
      <w:r>
        <w:rPr/>
        <w:t>Udostępnia funkcję przypisywania personelu do sal oraz wizualizację przypisania w formie graficznej.</w:t>
      </w:r>
    </w:p>
    <w:p>
      <w:pPr>
        <w:pStyle w:val="Normal"/>
        <w:numPr>
          <w:ilvl w:val="0"/>
          <w:numId w:val="62"/>
        </w:numPr>
        <w:tabs>
          <w:tab w:val="clear" w:pos="708"/>
          <w:tab w:val="left" w:pos="993" w:leader="none"/>
        </w:tabs>
        <w:spacing w:lineRule="auto" w:line="259" w:before="0" w:after="160"/>
        <w:jc w:val="both"/>
        <w:rPr/>
      </w:pPr>
      <w:r>
        <w:rPr/>
        <w:t xml:space="preserve">Zapewnia pełną integrację z systemem HIS w dostępnym w ramach pulpitu zakresie, na poziomie odczytu oraz zapisu następujących danych: dane osobowe, historia leczenia, wyniki badań oraz informacje o szczepieniach. </w:t>
      </w:r>
    </w:p>
    <w:p>
      <w:pPr>
        <w:pStyle w:val="Normal"/>
        <w:numPr>
          <w:ilvl w:val="0"/>
          <w:numId w:val="62"/>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62"/>
        </w:numPr>
        <w:tabs>
          <w:tab w:val="clear" w:pos="708"/>
          <w:tab w:val="left" w:pos="993" w:leader="none"/>
        </w:tabs>
        <w:spacing w:lineRule="auto" w:line="259" w:before="0" w:after="160"/>
        <w:jc w:val="both"/>
        <w:rPr/>
      </w:pPr>
      <w:r>
        <w:rPr/>
        <w:t>Obsługuje pełen cykl zleceń i podań leków, w tym różne formaty nazw leków i konfiguracje widoków.</w:t>
      </w:r>
    </w:p>
    <w:p>
      <w:pPr>
        <w:pStyle w:val="Normal"/>
        <w:numPr>
          <w:ilvl w:val="0"/>
          <w:numId w:val="62"/>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62"/>
        </w:numPr>
        <w:tabs>
          <w:tab w:val="clear" w:pos="708"/>
          <w:tab w:val="left" w:pos="993" w:leader="none"/>
        </w:tabs>
        <w:spacing w:lineRule="auto" w:line="259" w:before="0" w:after="160"/>
        <w:jc w:val="both"/>
        <w:rPr/>
      </w:pPr>
      <w:r>
        <w:rPr/>
        <w:t xml:space="preserve">Wspiera prezentację bilansu płynów oraz danych z urządzeń zewnętrznych. </w:t>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jc w:val="both"/>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jc w:val="both"/>
        <w:rPr>
          <w:b/>
          <w:bCs/>
        </w:rPr>
      </w:pPr>
      <w:r>
        <w:rPr>
          <w:b/>
          <w:bCs/>
        </w:rPr>
        <w:t>Warunki startowe (minimalna wersja AMMS)</w:t>
      </w:r>
    </w:p>
    <w:p>
      <w:pPr>
        <w:pStyle w:val="Normal"/>
        <w:numPr>
          <w:ilvl w:val="1"/>
          <w:numId w:val="61"/>
        </w:numPr>
        <w:tabs>
          <w:tab w:val="clear" w:pos="708"/>
          <w:tab w:val="left" w:pos="993" w:leader="none"/>
        </w:tabs>
        <w:spacing w:lineRule="auto" w:line="240" w:before="0" w:after="0"/>
        <w:jc w:val="both"/>
        <w:rPr/>
      </w:pPr>
      <w:r>
        <w:rPr/>
        <w:t xml:space="preserve">Licencja: </w:t>
      </w:r>
    </w:p>
    <w:p>
      <w:pPr>
        <w:pStyle w:val="Normal"/>
        <w:numPr>
          <w:ilvl w:val="2"/>
          <w:numId w:val="61"/>
        </w:numPr>
        <w:tabs>
          <w:tab w:val="clear" w:pos="708"/>
          <w:tab w:val="left" w:pos="993" w:leader="none"/>
        </w:tabs>
        <w:spacing w:lineRule="auto" w:line="240" w:before="0" w:after="0"/>
        <w:jc w:val="both"/>
        <w:rPr/>
      </w:pPr>
      <w:r>
        <w:rPr/>
        <w:t>Moduł: AMPD_PM:</w:t>
      </w:r>
    </w:p>
    <w:p>
      <w:pPr>
        <w:pStyle w:val="Normal"/>
        <w:numPr>
          <w:ilvl w:val="3"/>
          <w:numId w:val="61"/>
        </w:numPr>
        <w:tabs>
          <w:tab w:val="clear" w:pos="708"/>
          <w:tab w:val="left" w:pos="993" w:leader="none"/>
        </w:tabs>
        <w:spacing w:lineRule="auto" w:line="240" w:before="0" w:after="0"/>
        <w:jc w:val="both"/>
        <w:rPr/>
      </w:pPr>
      <w:r>
        <w:rPr/>
        <w:t>Funkcjonalność: OBCHOD_LEKARSKI_2023.</w:t>
      </w:r>
    </w:p>
    <w:p>
      <w:pPr>
        <w:pStyle w:val="Normal"/>
        <w:numPr>
          <w:ilvl w:val="2"/>
          <w:numId w:val="61"/>
        </w:numPr>
        <w:tabs>
          <w:tab w:val="clear" w:pos="708"/>
          <w:tab w:val="left" w:pos="993" w:leader="none"/>
        </w:tabs>
        <w:spacing w:lineRule="auto" w:line="240" w:before="0" w:after="0"/>
        <w:jc w:val="both"/>
        <w:rPr/>
      </w:pPr>
      <w:r>
        <w:rPr/>
        <w:t>Moduł: AMPD_PM_LEKARZ_2024.</w:t>
      </w:r>
    </w:p>
    <w:p>
      <w:pPr>
        <w:pStyle w:val="Normal"/>
        <w:numPr>
          <w:ilvl w:val="1"/>
          <w:numId w:val="61"/>
        </w:numPr>
        <w:tabs>
          <w:tab w:val="clear" w:pos="708"/>
          <w:tab w:val="left" w:pos="993" w:leader="none"/>
        </w:tabs>
        <w:spacing w:lineRule="auto" w:line="240" w:before="0" w:after="0"/>
        <w:jc w:val="both"/>
        <w:rPr/>
      </w:pPr>
      <w:r>
        <w:rPr/>
        <w:t>Wdrożony i prawidłowo skonfigurowany: Ruch Chorych AMMS.</w:t>
      </w:r>
    </w:p>
    <w:p>
      <w:pPr>
        <w:pStyle w:val="Normal"/>
        <w:numPr>
          <w:ilvl w:val="0"/>
          <w:numId w:val="61"/>
        </w:numPr>
        <w:tabs>
          <w:tab w:val="clear" w:pos="708"/>
          <w:tab w:val="left" w:pos="993" w:leader="none"/>
        </w:tabs>
        <w:spacing w:lineRule="auto" w:line="259" w:before="0" w:after="160"/>
        <w:jc w:val="both"/>
        <w:rPr>
          <w:b/>
          <w:bCs/>
        </w:rPr>
      </w:pPr>
      <w:r>
        <w:rPr>
          <w:b/>
          <w:bCs/>
        </w:rPr>
        <w:t>Wymagania techniczne:</w:t>
      </w:r>
    </w:p>
    <w:p>
      <w:pPr>
        <w:pStyle w:val="Normal"/>
        <w:numPr>
          <w:ilvl w:val="1"/>
          <w:numId w:val="60"/>
        </w:numPr>
        <w:tabs>
          <w:tab w:val="clear" w:pos="708"/>
          <w:tab w:val="left" w:pos="993" w:leader="none"/>
        </w:tabs>
        <w:spacing w:lineRule="auto" w:line="240" w:before="0" w:after="0"/>
        <w:ind w:hanging="357" w:left="1440"/>
        <w:jc w:val="both"/>
        <w:rPr/>
      </w:pPr>
      <w:r>
        <w:rPr/>
        <w:t xml:space="preserve">Stacje robocze: </w:t>
      </w:r>
    </w:p>
    <w:p>
      <w:pPr>
        <w:pStyle w:val="Normal"/>
        <w:numPr>
          <w:ilvl w:val="2"/>
          <w:numId w:val="60"/>
        </w:numPr>
        <w:tabs>
          <w:tab w:val="clear" w:pos="708"/>
          <w:tab w:val="left" w:pos="993" w:leader="none"/>
        </w:tabs>
        <w:spacing w:lineRule="auto" w:line="240" w:before="0" w:after="0"/>
        <w:jc w:val="both"/>
        <w:rPr/>
      </w:pPr>
      <w:r>
        <w:rPr/>
        <w:t xml:space="preserve">procesor o architekturze z rodziny x86: 32 lub 64 bitowy o taktowaniu powyżej 2 GHz, </w:t>
        <w:tab/>
        <w:t xml:space="preserve"> </w:t>
      </w:r>
    </w:p>
    <w:p>
      <w:pPr>
        <w:pStyle w:val="Normal"/>
        <w:numPr>
          <w:ilvl w:val="2"/>
          <w:numId w:val="60"/>
        </w:numPr>
        <w:tabs>
          <w:tab w:val="clear" w:pos="708"/>
          <w:tab w:val="left" w:pos="993" w:leader="none"/>
        </w:tabs>
        <w:spacing w:lineRule="auto" w:line="240" w:before="0" w:after="0"/>
        <w:jc w:val="both"/>
        <w:rPr/>
      </w:pPr>
      <w:r>
        <w:rPr/>
        <w:t xml:space="preserve">minimalny standard pamięci: DDR3, </w:t>
      </w:r>
    </w:p>
    <w:p>
      <w:pPr>
        <w:pStyle w:val="Normal"/>
        <w:numPr>
          <w:ilvl w:val="2"/>
          <w:numId w:val="60"/>
        </w:numPr>
        <w:tabs>
          <w:tab w:val="clear" w:pos="708"/>
          <w:tab w:val="left" w:pos="993" w:leader="none"/>
        </w:tabs>
        <w:spacing w:lineRule="auto" w:line="240" w:before="0" w:after="0"/>
        <w:jc w:val="both"/>
        <w:rPr/>
      </w:pPr>
      <w:r>
        <w:rPr/>
        <w:t xml:space="preserve">minimalna ilość dostępnej pamięci RAM: 3 GB (2 GB pamięci RAM dostępnej tylko dla AMMS), </w:t>
      </w:r>
    </w:p>
    <w:p>
      <w:pPr>
        <w:pStyle w:val="Normal"/>
        <w:numPr>
          <w:ilvl w:val="2"/>
          <w:numId w:val="60"/>
        </w:numPr>
        <w:tabs>
          <w:tab w:val="clear" w:pos="708"/>
          <w:tab w:val="left" w:pos="993" w:leader="none"/>
        </w:tabs>
        <w:spacing w:lineRule="auto" w:line="240" w:before="0" w:after="0"/>
        <w:jc w:val="both"/>
        <w:rPr/>
      </w:pPr>
      <w:r>
        <w:rPr/>
        <w:t xml:space="preserve">minimalne wymagania dotyczące rozdzielczości: 1280×768pikseli (XGA/XVGA), </w:t>
      </w:r>
    </w:p>
    <w:p>
      <w:pPr>
        <w:pStyle w:val="Normal"/>
        <w:numPr>
          <w:ilvl w:val="2"/>
          <w:numId w:val="60"/>
        </w:numPr>
        <w:tabs>
          <w:tab w:val="clear" w:pos="708"/>
          <w:tab w:val="left" w:pos="993" w:leader="none"/>
        </w:tabs>
        <w:spacing w:lineRule="auto" w:line="240" w:before="0" w:after="0"/>
        <w:jc w:val="both"/>
        <w:rPr/>
      </w:pPr>
      <w:r>
        <w:rPr/>
        <w:t xml:space="preserve">minimalna ilość wolnego miejsca na dysku: 5 GB, </w:t>
        <w:tab/>
        <w:t xml:space="preserve"> </w:t>
      </w:r>
    </w:p>
    <w:p>
      <w:pPr>
        <w:pStyle w:val="Normal"/>
        <w:numPr>
          <w:ilvl w:val="2"/>
          <w:numId w:val="60"/>
        </w:numPr>
        <w:tabs>
          <w:tab w:val="clear" w:pos="708"/>
          <w:tab w:val="left" w:pos="993" w:leader="none"/>
        </w:tabs>
        <w:spacing w:lineRule="auto" w:line="240" w:before="0" w:after="0"/>
        <w:jc w:val="both"/>
        <w:rPr/>
      </w:pPr>
      <w:r>
        <w:rPr/>
        <w:t>minimalna prędkość przesyłu danych przez kartę sieciową: 100 Mbit,</w:t>
      </w:r>
    </w:p>
    <w:p>
      <w:pPr>
        <w:pStyle w:val="Normal"/>
        <w:numPr>
          <w:ilvl w:val="2"/>
          <w:numId w:val="60"/>
        </w:numPr>
        <w:tabs>
          <w:tab w:val="clear" w:pos="708"/>
          <w:tab w:val="left" w:pos="993" w:leader="none"/>
        </w:tabs>
        <w:spacing w:lineRule="auto" w:line="240" w:before="0" w:after="0"/>
        <w:jc w:val="both"/>
        <w:rPr/>
      </w:pPr>
      <w:r>
        <w:rPr/>
        <w:t xml:space="preserve">Na stacji roboczej, która będzie umożliwiać pracę z systemem AMMS powinien być zainstalowany system operacyjny wraz z przeglądarką internetową w trybie graficznym, </w:t>
      </w:r>
    </w:p>
    <w:p>
      <w:pPr>
        <w:pStyle w:val="Normal"/>
        <w:numPr>
          <w:ilvl w:val="2"/>
          <w:numId w:val="60"/>
        </w:numPr>
        <w:tabs>
          <w:tab w:val="clear" w:pos="708"/>
          <w:tab w:val="left" w:pos="993" w:leader="none"/>
        </w:tabs>
        <w:spacing w:lineRule="auto" w:line="240" w:before="0" w:after="0"/>
        <w:jc w:val="both"/>
        <w:rPr/>
      </w:pPr>
      <w:r>
        <w:rPr/>
        <w:t xml:space="preserve">minimalna wersja systemu operacyjnego firmy Microsoft to Windows 10 (32/64bit), </w:t>
      </w:r>
    </w:p>
    <w:p>
      <w:pPr>
        <w:pStyle w:val="Normal"/>
        <w:numPr>
          <w:ilvl w:val="2"/>
          <w:numId w:val="60"/>
        </w:numPr>
        <w:tabs>
          <w:tab w:val="clear" w:pos="708"/>
          <w:tab w:val="left" w:pos="993" w:leader="none"/>
        </w:tabs>
        <w:spacing w:lineRule="auto" w:line="240" w:before="0" w:after="0"/>
        <w:jc w:val="both"/>
        <w:rPr>
          <w:lang w:val="en-US"/>
        </w:rPr>
      </w:pPr>
      <w:r>
        <w:rPr>
          <w:lang w:val="en-US"/>
        </w:rPr>
        <w:t xml:space="preserve">Firefox ESR 102.15,  MS Edge dla firm 104.x,  Chrome 104.x, </w:t>
      </w:r>
    </w:p>
    <w:p>
      <w:pPr>
        <w:pStyle w:val="Normal"/>
        <w:numPr>
          <w:ilvl w:val="2"/>
          <w:numId w:val="60"/>
        </w:numPr>
        <w:tabs>
          <w:tab w:val="clear" w:pos="708"/>
          <w:tab w:val="left" w:pos="993" w:leader="none"/>
        </w:tabs>
        <w:spacing w:lineRule="auto" w:line="240" w:before="0" w:after="0"/>
        <w:jc w:val="both"/>
        <w:rPr/>
      </w:pPr>
      <w:r>
        <w:rPr/>
        <w:t>Dla systemów 64 bitowych zalecane są przeglądarki w wersji 64bit,</w:t>
      </w:r>
    </w:p>
    <w:p>
      <w:pPr>
        <w:pStyle w:val="Normal"/>
        <w:numPr>
          <w:ilvl w:val="2"/>
          <w:numId w:val="60"/>
        </w:numPr>
        <w:tabs>
          <w:tab w:val="clear" w:pos="708"/>
          <w:tab w:val="left" w:pos="993" w:leader="none"/>
        </w:tabs>
        <w:spacing w:lineRule="auto" w:line="240" w:before="0" w:after="0"/>
        <w:jc w:val="both"/>
        <w:rPr/>
      </w:pPr>
      <w:r>
        <w:rPr/>
        <w:t>Java 8  32bit – zgodnie z zaleceniami opisanymi w dokumencie 'AMMS - Zalecenia Java i instrukcja instalacji OpenJDK’.</w:t>
      </w:r>
    </w:p>
    <w:p>
      <w:pPr>
        <w:pStyle w:val="Normal"/>
        <w:numPr>
          <w:ilvl w:val="1"/>
          <w:numId w:val="60"/>
        </w:numPr>
        <w:tabs>
          <w:tab w:val="clear" w:pos="708"/>
          <w:tab w:val="left" w:pos="993" w:leader="none"/>
        </w:tabs>
        <w:spacing w:lineRule="auto" w:line="240" w:before="0" w:after="0"/>
        <w:ind w:hanging="357" w:left="1440"/>
        <w:jc w:val="both"/>
        <w:rPr/>
      </w:pPr>
      <w:r>
        <w:rPr/>
        <w:t xml:space="preserve">Tablet: </w:t>
      </w:r>
    </w:p>
    <w:p>
      <w:pPr>
        <w:pStyle w:val="Normal"/>
        <w:numPr>
          <w:ilvl w:val="2"/>
          <w:numId w:val="60"/>
        </w:numPr>
        <w:tabs>
          <w:tab w:val="clear" w:pos="708"/>
          <w:tab w:val="left" w:pos="993" w:leader="none"/>
        </w:tabs>
        <w:spacing w:lineRule="auto" w:line="240" w:before="0" w:after="0"/>
        <w:jc w:val="both"/>
        <w:rPr/>
      </w:pPr>
      <w:r>
        <w:rPr/>
        <w:t xml:space="preserve">rozmiar ekranu minimum 10", </w:t>
      </w:r>
    </w:p>
    <w:p>
      <w:pPr>
        <w:pStyle w:val="Normal"/>
        <w:numPr>
          <w:ilvl w:val="2"/>
          <w:numId w:val="60"/>
        </w:numPr>
        <w:tabs>
          <w:tab w:val="clear" w:pos="708"/>
          <w:tab w:val="left" w:pos="993" w:leader="none"/>
        </w:tabs>
        <w:spacing w:lineRule="auto" w:line="240" w:before="0" w:after="0"/>
        <w:jc w:val="both"/>
        <w:rPr/>
      </w:pPr>
      <w:r>
        <w:rPr/>
        <w:t xml:space="preserve">rozdzielczość ekranu 1920x1080px, </w:t>
      </w:r>
    </w:p>
    <w:p>
      <w:pPr>
        <w:pStyle w:val="Normal"/>
        <w:numPr>
          <w:ilvl w:val="2"/>
          <w:numId w:val="60"/>
        </w:numPr>
        <w:tabs>
          <w:tab w:val="clear" w:pos="708"/>
          <w:tab w:val="left" w:pos="993" w:leader="none"/>
        </w:tabs>
        <w:spacing w:lineRule="auto" w:line="240" w:before="0" w:after="0"/>
        <w:jc w:val="both"/>
        <w:rPr/>
      </w:pPr>
      <w:r>
        <w:rPr/>
        <w:t xml:space="preserve">pamięć RAM 4-6GB, </w:t>
      </w:r>
    </w:p>
    <w:p>
      <w:pPr>
        <w:pStyle w:val="Normal"/>
        <w:numPr>
          <w:ilvl w:val="2"/>
          <w:numId w:val="60"/>
        </w:numPr>
        <w:tabs>
          <w:tab w:val="clear" w:pos="708"/>
          <w:tab w:val="left" w:pos="993" w:leader="none"/>
        </w:tabs>
        <w:spacing w:lineRule="auto" w:line="240" w:before="0" w:after="0"/>
        <w:jc w:val="both"/>
        <w:rPr/>
      </w:pPr>
      <w:r>
        <w:rPr/>
        <w:t xml:space="preserve">liczba rdzeni procesora urządzenia: 8.  </w:t>
      </w:r>
    </w:p>
    <w:p>
      <w:pPr>
        <w:pStyle w:val="Normal"/>
        <w:tabs>
          <w:tab w:val="clear" w:pos="708"/>
          <w:tab w:val="left" w:pos="993" w:leader="none"/>
        </w:tabs>
        <w:spacing w:lineRule="auto" w:line="240" w:before="0" w:after="0"/>
        <w:jc w:val="both"/>
        <w:rPr>
          <w:highlight w:val="yellow"/>
        </w:rPr>
      </w:pPr>
      <w:r>
        <w:rPr>
          <w:highlight w:val="yellow"/>
        </w:rPr>
      </w:r>
    </w:p>
    <w:p>
      <w:pPr>
        <w:pStyle w:val="Normal"/>
        <w:numPr>
          <w:ilvl w:val="0"/>
          <w:numId w:val="61"/>
        </w:numPr>
        <w:tabs>
          <w:tab w:val="clear" w:pos="708"/>
          <w:tab w:val="left" w:pos="993" w:leader="none"/>
        </w:tabs>
        <w:spacing w:lineRule="auto" w:line="259" w:before="0" w:after="160"/>
        <w:jc w:val="both"/>
        <w:rPr>
          <w:b/>
        </w:rPr>
      </w:pPr>
      <w:r>
        <w:rPr>
          <w:b/>
          <w:bCs/>
        </w:rPr>
        <w:t>Wymagania organizacyjne:</w:t>
      </w:r>
    </w:p>
    <w:p>
      <w:pPr>
        <w:pStyle w:val="Normal"/>
        <w:tabs>
          <w:tab w:val="clear" w:pos="708"/>
          <w:tab w:val="left" w:pos="993" w:leader="none"/>
        </w:tabs>
        <w:ind w:firstLine="708" w:left="360"/>
        <w:jc w:val="both"/>
        <w:rPr>
          <w:rFonts w:eastAsia="" w:eastAsiaTheme="minorEastAsia"/>
        </w:rPr>
      </w:pPr>
      <w:r>
        <w:rPr>
          <w:rFonts w:eastAsia="" w:eastAsiaTheme="minorEastAsia"/>
        </w:rPr>
        <w:t>Brak.</w:t>
      </w:r>
    </w:p>
    <w:p>
      <w:pPr>
        <w:pStyle w:val="Normal"/>
        <w:tabs>
          <w:tab w:val="clear" w:pos="708"/>
          <w:tab w:val="left" w:pos="993" w:leader="none"/>
        </w:tabs>
        <w:rPr/>
      </w:pPr>
      <w:r>
        <w:rPr/>
      </w:r>
    </w:p>
    <w:p>
      <w:pPr>
        <w:pStyle w:val="ListParagraph"/>
        <w:pBdr>
          <w:bottom w:val="single" w:sz="12" w:space="1" w:color="000000"/>
        </w:pBdr>
        <w:spacing w:lineRule="auto" w:line="240"/>
        <w:ind w:left="0"/>
        <w:jc w:val="both"/>
        <w:rPr>
          <w:b/>
          <w:bCs/>
          <w:sz w:val="28"/>
          <w:szCs w:val="24"/>
        </w:rPr>
      </w:pPr>
      <w:r>
        <w:rPr>
          <w:b/>
          <w:bCs/>
          <w:sz w:val="28"/>
          <w:szCs w:val="28"/>
        </w:rPr>
        <w:t xml:space="preserve">Opis wdrożenia </w:t>
      </w:r>
    </w:p>
    <w:p>
      <w:pPr>
        <w:pStyle w:val="Normal"/>
        <w:tabs>
          <w:tab w:val="clear" w:pos="708"/>
          <w:tab w:val="left" w:pos="993" w:leader="none"/>
        </w:tabs>
        <w:spacing w:lineRule="auto" w:line="240" w:before="0" w:after="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58"/>
        </w:numPr>
        <w:tabs>
          <w:tab w:val="clear" w:pos="708"/>
          <w:tab w:val="left" w:pos="993" w:leader="none"/>
        </w:tabs>
        <w:spacing w:lineRule="auto" w:line="240" w:before="0" w:after="0"/>
        <w:ind w:hanging="357" w:lef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spacing w:lineRule="auto" w:line="240" w:before="0" w:after="0"/>
        <w:ind w:left="720"/>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Normal"/>
        <w:tabs>
          <w:tab w:val="clear" w:pos="708"/>
          <w:tab w:val="left" w:pos="993" w:leader="none"/>
        </w:tabs>
        <w:spacing w:lineRule="auto" w:line="240" w:before="0" w:after="0"/>
        <w:ind w:lef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5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w:t>
      </w:r>
    </w:p>
    <w:p>
      <w:pPr>
        <w:pStyle w:val="ListParagraph"/>
        <w:numPr>
          <w:ilvl w:val="0"/>
          <w:numId w:val="5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5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Normal"/>
        <w:tabs>
          <w:tab w:val="clear" w:pos="708"/>
          <w:tab w:val="left" w:pos="993" w:leader="none"/>
        </w:tabs>
        <w:spacing w:lineRule="auto" w:line="240" w:before="0" w:after="0"/>
        <w:ind w:left="72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5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spacing w:lineRule="auto" w:line="240" w:before="0" w:after="0"/>
        <w:ind w:left="720"/>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tabs>
          <w:tab w:val="clear" w:pos="708"/>
          <w:tab w:val="left" w:pos="993" w:leader="none"/>
        </w:tabs>
        <w:spacing w:lineRule="auto" w:line="240" w:before="0" w:after="0"/>
        <w:ind w:hanging="357" w:lef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5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Instalacja licencji AMPD_PM</w:t>
      </w:r>
    </w:p>
    <w:p>
      <w:pPr>
        <w:pStyle w:val="ListParagraph"/>
        <w:numPr>
          <w:ilvl w:val="0"/>
          <w:numId w:val="5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Szkolenie i konsultacje użytkowników</w:t>
      </w:r>
    </w:p>
    <w:p>
      <w:pPr>
        <w:pStyle w:val="Normal"/>
        <w:tabs>
          <w:tab w:val="clear" w:pos="708"/>
          <w:tab w:val="left" w:pos="993" w:leader="none"/>
        </w:tabs>
        <w:spacing w:lineRule="auto" w:line="240" w:before="0" w:after="0"/>
        <w:rPr>
          <w:highlight w:val="yellow"/>
        </w:rPr>
      </w:pPr>
      <w:r>
        <w:rPr>
          <w:highlight w:val="yellow"/>
        </w:rPr>
      </w:r>
    </w:p>
    <w:p>
      <w:pPr>
        <w:pStyle w:val="Normal"/>
        <w:tabs>
          <w:tab w:val="clear" w:pos="708"/>
          <w:tab w:val="left" w:pos="993" w:leader="none"/>
        </w:tabs>
        <w:spacing w:lineRule="auto" w:line="240" w:before="0" w:after="0"/>
        <w:rPr>
          <w:highlight w:val="yellow"/>
        </w:rPr>
      </w:pPr>
      <w:r>
        <w:rPr>
          <w:highlight w:val="yellow"/>
        </w:rPr>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t>2.Pulpit Pielęgniarki i Położnej</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udostępnia Pulpity dedykowane grupom personelu medycznego, prezentujące najważniejsze informacje medyczne o aktualnym stanie pacjenta.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być dostępny dla różnych klas urządzeń - minimum: komputer stacjonarny, laptop, tablet, smartfon</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integrację z systemem HIS w zakresie pobierania informacji medycznych o historii i aktualnym stanie pacjenta minimum w zakresie:</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osobowych,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 alergiach i uczuleniach, grupie krwi, groźnych wirusach lub bakteriach, szczepieniach,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badań laboratoryjnych, pomiarów parametrów życiowych, danych bilansu płynów,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diet, przebiegów pielęgniarskich, diagnoz pielęgniarskich, procedur, innych (pozostałych) zleceń pielęgniarskich,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dokumentacji medycznej oraz kart pomocniczych.</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kontekstowe uruchomienie systemu HIS z zachowaniem kontekstu informacji, w ramach której nastąpiło wywołanie, dla wszystkich obszarów prezentowanych w ramach pulpitu.</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dostosowanie zawartości ekranu (pulpitu) do Jednostki organizacyjnej, w zakresie, formie oraz kolejności prezentowanych danych</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uprawnionemu użytkownikowi na dostosowanie pulpitu do jego indywidualnych preferencji, w zakresie, formie oraz kolejności prezentowanych danych</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zapewniać możliwość dostosowania konfiguracji pulpitu dla urządzeń z różną rozdzielczością i orientacją ekranu</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w ramach konfiguracji pulpitu powinien umożliwić:</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dodanie/usunięcie nowej sekcji,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położenie na nowo utworzonej sekcji kafelków,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zmianę wielkości poszczególnych kafelków,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zmianę miejsca położenia poszczególnych kafelków,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zapisanie ustawienia pulpitu dla bieżącej rozdzielczości,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przywrócenie domyślnych ustawień,</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respektować uprawnienia użytkownika do dostępu do danych pacjentów jednostek objętych szczególną ochroną danych (np. jednostki psychiatryczne)</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Obchód</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umożliwia szybkie przełączenie pulpitu na innego pacjenta z listy określonej w wyszukaniu pacjentów (np. pacjentów określonej sali)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rejestrację i prezentację dowolnych uwag, notatek w formie dowolnego tekstu, dedykowanego konkretnemu pacjentowi i do określonego dnia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fakt pozostawienia notatki na dany dzień w formie osi czasu</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przegląd listy personelu przypisanego do poszczególnych sal w układzie graficznym (każda sala to osobna kostka informacyjna).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zarządzanie przypisaniami (przypinanie i odpinanie) użytkownika zalogowanego do wybranych sal w ramach jednostki szpitalnej.</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zapisywanie własnych notatek związanych z wybranym pacjentem</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zapisywanie notatek publicznych (dostępnych dla całego personelu) związanych z wybranym pacjentem</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prezentację notatek na liście zbiorczej pacjentów, na dedykowanym kafelku oraz na wykresie podstawowych pomiarów.</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usuwanie notatek</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Wymagania funkcjonalne</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prezentację listy pacjentów obecnie przebywających na oddziale bądź izbie przyjęć w postaci listy prostej, a także w postaci graficznej, w podziale na sale oraz zajmowane przez pacjentów łóżka.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z listy otwartych pobytów oddziału lub izby przyjęć po nazwisku i imieniu, nr PESEL lub ID pacjenta (minimum po 1 znaku).</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z listy zbiorczej pacjentów po kodzie kreskowym.</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po nazwisku i imieniu (minimalnie 2 znaki nazwiska i 3 znaki imienia) lub nr PESEL lub ID pacjenta z rejestru pacjentów.</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po odcinkach i salach danej jednostki.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dla których użytkownik jest przypisany jako pielęgniarka prowadząca.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którzy znajdują się w salach przypisanych do użytkownika zalogowanego.</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z alergią, a także zakażeniem.</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realizację zleceń pomiarów oraz dodanie dowolnego pomiaru (rejestrowanego w wybranej jednostce) dla pacjentów wybranych z listy pacjentów jednostki.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odnotowanie wykonania zleconych, a także planowanych bez zlecenia procedur pielęgniarskich dla pacjentów wybranych z listy pacjentów jednostki.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odnotowanie podania zleconych leków  dla pacjentów wybranych z listy pacjentów jednostki.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listę zadań opieki pielęgniarskiej, tj. podań leków, zleceń wykonania pomiaru, planowanych do wykonania procedur pielęgniarskich na osi czasu (w układzie bieżącej doby lub bieżącego dyżuru).</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 ramach listy zadań opieki pielęgniarskiej prezentowane wartości powinny odpowiadać liczbie pacjentów, dla których przewidziano wykonanie danego zadania (np. 5 pacjentów, którym należy podać lek), a następnie prezentować listę tych pacjentów (w tym nazwisko i imię, nr PESEL, sala, łóżko, oznaczenie groźnego wirusa lub bakterii) z możliwością zaewidencjonowania wykonania danej czynności wskazanemu pacjentowi z listy.</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na liście zadań opieki pielęgniarskiej musi prezentować liczbę pacjentów bez wykonań zaplanowanych działań pielęgniarskich z poprzedniego dnia lub z poprzedniego dyżuru.</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na liście zadań opieki pielęgniarskiej musi wyróżniać kolorem te liczby pacjentów, których zadania są zaległością w kontekście daty i godziny bieżącej i/lub przewidzianego czasu ich realizacji.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obserwacji/przebiegów pielęgniarskich, w tym dodawanie nowych wpisów, powielanie wpisów, a także przejścia do pełnej dokumentacji z zakresu prowadzonych obserwacji.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kart pomocniczych: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karty z zakresu bieżącego pobytu lub bieżącej hospitalizacji,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dodawanie nowych kart,</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dodawanie wpisów do bieżących kart,</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ukrywanie kart zamkniętych,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listy kart pomocniczych z systemu HIS.</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wyników pomiarów rejestrowanych w jednostce:</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z możliwością przeglądu wyników archiwalnych z dowolnego okresu, okresu pobytu, tygodnia, doby,</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pomijanie pomiarów bez wyniku,</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grupowania wyników pomiarów wg dni,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postaci graficznej na wykresie dla podstawowych pomiarów: ciśnienia, tętna i temperatury,</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dodawanie nowych pomiarów,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realizacji zleceń wykonania pomiarów.</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zleceń leków, podań leków bez zlecenia:</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bieżącego dnia z możliwością zmiany na kolejne, poprzednie,</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realizacji zleceń leków,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podań leków bez zlecenia,</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karty zleceń leków.</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bilansu płynów: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zakresu ostatnich 48h  (24h liczone od dowolnie ustawionej godziny początkowej z możliwością porównania do poprzedniego analogicznego okresu),</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wartości pomiarów lub różnicy w stosunku do poprzedniego okresu,</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określenia pomiarów wchodzących w skład bilansu płynów (płynów przyjętych/płynów wydalonych),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pomiarów bilansu płynów oraz pomiarów dodatkowych zmierzonych przy bilansie.</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diagnoz i procedur pielęgniarskich: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wszystkich bieżących diagnoz oraz zleceń (niezależnie od jednostki wprowadzającej)</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liczby wykonanych oraz planowanych do wykonania procedur,</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informacji o ostatnim wykonaniu (data, godzina, osoba wykonująca),</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ukrywania diagnoz pochodzących z zamkniętych hospitalizacji,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dodawania grupowego diagnoz,</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odnotowania realizacji procedur,</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usunięcia diagnoz bez rozpoczętej realizacji procedur,</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odrzucenia zlecenia z podaniem przyczyny odrzucenia,</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zakończenia diagnoz,</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dodania procedury spoza planu,</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listy diagnoz i procedur w danych opieki pielęgniarskiej w systemie HIS.</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diet:</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na której obecnie jest pacjent,</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dodanie nowej diety, wraz z możliwością oznaczenia diety w opakowaniu jednorazowym oraz zmiany w dietach,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powielenia diety,</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oraz informacji o planowanej zmianie w dietach,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oraz informacji o alergiach pokarmowych pacjenta.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danych ratunkowych (tj. grupa krwi, groźny wirus lub bakteria, uczulenia, choroby przebyte, stale przyjmowane leki, szczepienia, wywiad ogólny):</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ukrycia dowolnej z grupy danych,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danych ratunkowych w systemie HIS,</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wywiadu w systemie HIS.</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badań laboratoryjnych: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wyników i zleceń, tylko wyników albo tylko zleceń,</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badań laboratoryjnych oraz mikrobiologicznych, tylko laboratoryjnych albo tylko mikrobiologicznych.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obserwacji lekarskich: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prezentując także informację o braku obserwacji,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 formie listy, listy z podglądem lub podglądu pojedynczej obserwacji.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wybranych dokumentów medycznych:</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określenia listy wyświetlanych dokumentów,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podglądu danych (materializacji dokumentów),</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pełnej dokumentacji medycznej pacjenta.</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prezentację informacji o kategorii opieki lub poziomie opieki:</w:t>
      </w:r>
    </w:p>
    <w:p>
      <w:pPr>
        <w:pStyle w:val="ListParagraph"/>
        <w:numPr>
          <w:ilvl w:val="2"/>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dodania kategorii/poziomu opieki.</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przejście do listy pobrań w systemie HIS.</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rejestrację danych dla szybkiego pobrania materiału do badań.</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przejście do Wykazów Raportów Pielęgniarskich w systemie HIS.</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przejście do zapotrzebowania żywnościowego w systemie HIS.</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przypisywanie pacjentów do łóżek, zmianę przypisanego łóżka, odpięcie pacjenta od łóżka, a także zamianę przypisania pomiędzy wybranymi dwoma pacjentami, z zachowaniem monitoringu kategorii łóżka (np. dedykowane dla kobiet).</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informacje o alergiach pacjenta.</w:t>
      </w:r>
    </w:p>
    <w:p>
      <w:pPr>
        <w:pStyle w:val="ListParagraph"/>
        <w:numPr>
          <w:ilvl w:val="1"/>
          <w:numId w:val="6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informacje o tym, czy pacjent jest zakażony wirusem bądź bakterią.</w:t>
      </w:r>
    </w:p>
    <w:p>
      <w:pPr>
        <w:pStyle w:val="ListParagraph"/>
        <w:tabs>
          <w:tab w:val="clear" w:pos="708"/>
          <w:tab w:val="left" w:pos="993" w:leader="none"/>
        </w:tabs>
        <w:ind w:left="1440"/>
        <w:jc w:val="both"/>
        <w:rPr>
          <w:highlight w:val="yellow"/>
        </w:rPr>
      </w:pPr>
      <w:r>
        <w:rPr>
          <w:highlight w:val="yellow"/>
        </w:rPr>
      </w:r>
    </w:p>
    <w:p>
      <w:pPr>
        <w:pStyle w:val="Normal"/>
        <w:numPr>
          <w:ilvl w:val="0"/>
          <w:numId w:val="59"/>
        </w:numPr>
        <w:tabs>
          <w:tab w:val="clear" w:pos="708"/>
          <w:tab w:val="left" w:pos="993" w:leader="none"/>
        </w:tabs>
        <w:spacing w:lineRule="auto" w:line="259" w:before="0" w:after="160"/>
        <w:rPr/>
      </w:pPr>
      <w:r>
        <w:rPr>
          <w:b/>
          <w:bCs/>
        </w:rPr>
        <w:t>Wewnętrzne integracje:</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integrację z systemem HIS w zakresie pobierania informacji medycznych o historii i aktualnym stanie pacjenta minimum w zakresie:</w:t>
      </w:r>
    </w:p>
    <w:p>
      <w:pPr>
        <w:pStyle w:val="ListParagraph"/>
        <w:numPr>
          <w:ilvl w:val="2"/>
          <w:numId w:val="6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osobowych,</w:t>
      </w:r>
    </w:p>
    <w:p>
      <w:pPr>
        <w:pStyle w:val="ListParagraph"/>
        <w:numPr>
          <w:ilvl w:val="2"/>
          <w:numId w:val="6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 alergiach i uczuleniach, grupie krwi, groźnych wirusach lub bakteriach, szczepieniach,</w:t>
      </w:r>
    </w:p>
    <w:p>
      <w:pPr>
        <w:pStyle w:val="ListParagraph"/>
        <w:numPr>
          <w:ilvl w:val="2"/>
          <w:numId w:val="6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wizyt ambulatoryjnych, hospitalizacji, badań diagnostycznych, badań laboratoryjnych, pomiarów parametrów życiowych, zabiegów operacyjnych, danych bilansu płynów,</w:t>
      </w:r>
    </w:p>
    <w:p>
      <w:pPr>
        <w:pStyle w:val="ListParagraph"/>
        <w:numPr>
          <w:ilvl w:val="2"/>
          <w:numId w:val="6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diet, przebiegów pielęgniarskich, diagnoz pielęgniarskich, procedur, innych (pozostałych) zleceń pielęgniarskich,</w:t>
      </w:r>
    </w:p>
    <w:p>
      <w:pPr>
        <w:pStyle w:val="ListParagraph"/>
        <w:numPr>
          <w:ilvl w:val="2"/>
          <w:numId w:val="6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dokumentacji medycznej oraz kart pomocniczych.</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kontekstowe uruchomienie systemu HIS z zachowaniem kontekstu informacji, w ramach której nastąpiło wywołanie, dla wszystkich obszarów prezentowanych w ramach pulpitu.</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Pulpit prezentuje dane zgromadzone w systemie HIS, bez konieczności jego uruchamiania oraz przełączania modułów tego systemu.</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Informacje tego samego typu, ewidencjonowane w ramach Pulpitu Pielęgniarki i Położnej dostępne są w modułach systemu HIS oraz innych pulpitach z rodziny Pulpitów medycznych. Przykładowo obserwacja pielęgniarska dla pobytu pacjenta wprowadzona w Pulpicie Pielęgniarki i Położnej dostępna jest w module Oddział systemu HIS. Dane dostępne są we wszystkich miejscach ich występowania w czasie rzeczywistym (nie wymagają dodatkowych synchronizacji).</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Moduł posiada wspólną bazę użytkowników z systemem HIS.</w:t>
      </w:r>
    </w:p>
    <w:p>
      <w:pPr>
        <w:pStyle w:val="Normal"/>
        <w:rPr>
          <w:rFonts w:ascii="Calibri" w:hAnsi="Calibri" w:eastAsia="Times New Roman" w:cs="Calibri"/>
          <w:color w:themeColor="text1" w:val="000000"/>
          <w:lang w:eastAsia="pl-PL"/>
        </w:rPr>
      </w:pPr>
      <w:r>
        <w:rPr>
          <w:rFonts w:eastAsia="Times New Roman" w:cs="Calibri"/>
          <w:color w:themeColor="text1" w:val="000000"/>
          <w:lang w:eastAsia="pl-PL"/>
        </w:rPr>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Pierwsze uruchomienie produktu poprzedzone powinno być konfiguracją systemu HIS minimum w zakresie parametrów opisanych w instrukcji użytkownika dla modułu Pulpity Medyczne. </w:t>
      </w:r>
    </w:p>
    <w:p>
      <w:pPr>
        <w:pStyle w:val="ListParagraph"/>
        <w:numPr>
          <w:ilvl w:val="1"/>
          <w:numId w:val="59"/>
        </w:numPr>
        <w:tabs>
          <w:tab w:val="clear" w:pos="708"/>
          <w:tab w:val="left" w:pos="993" w:leader="none"/>
        </w:tabs>
        <w:spacing w:lineRule="auto" w:line="259" w:before="0" w:after="160"/>
        <w:contextualSpacing/>
        <w:jc w:val="both"/>
        <w:rPr>
          <w:rFonts w:ascii="Aptos" w:hAnsi="Aptos" w:eastAsia="Aptos" w:cs="Aptos"/>
        </w:rPr>
      </w:pPr>
      <w:r>
        <w:rPr>
          <w:rFonts w:eastAsia="Aptos" w:cs="Aptos" w:ascii="Aptos" w:hAnsi="Aptos"/>
        </w:rPr>
        <w:t>Lista ulubionych i preferowanych badań podczas zlecania jest listą wspólną z systemem HIS.</w:t>
      </w:r>
    </w:p>
    <w:p>
      <w:pPr>
        <w:pStyle w:val="ListParagraph"/>
        <w:numPr>
          <w:ilvl w:val="1"/>
          <w:numId w:val="59"/>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Moduł korzysta z wspólnej bazy danych z systemem HIS.</w:t>
      </w:r>
    </w:p>
    <w:p>
      <w:pPr>
        <w:pStyle w:val="ListParagraph"/>
        <w:numPr>
          <w:ilvl w:val="1"/>
          <w:numId w:val="59"/>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Słownik tekstów standardowych.</w:t>
      </w:r>
    </w:p>
    <w:p>
      <w:pPr>
        <w:pStyle w:val="ListParagraph"/>
        <w:numPr>
          <w:ilvl w:val="1"/>
          <w:numId w:val="59"/>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Pomiary pacjenta.</w:t>
      </w:r>
    </w:p>
    <w:p>
      <w:pPr>
        <w:pStyle w:val="Normal"/>
        <w:tabs>
          <w:tab w:val="clear" w:pos="708"/>
          <w:tab w:val="left" w:pos="993" w:leader="none"/>
        </w:tabs>
        <w:rPr/>
      </w:pPr>
      <w:r>
        <w:rPr/>
      </w:r>
    </w:p>
    <w:p>
      <w:pPr>
        <w:pStyle w:val="ListParagraph"/>
        <w:pBdr>
          <w:bottom w:val="single" w:sz="12" w:space="1" w:color="000000"/>
        </w:pBdr>
        <w:spacing w:lineRule="auto" w:line="240"/>
        <w:ind w:left="0"/>
        <w:jc w:val="both"/>
        <w:rPr>
          <w:b/>
          <w:bCs/>
          <w:sz w:val="28"/>
          <w:szCs w:val="24"/>
        </w:rPr>
      </w:pPr>
      <w:r>
        <w:rPr>
          <w:b/>
          <w:sz w:val="28"/>
          <w:szCs w:val="28"/>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left="720"/>
        <w:jc w:val="both"/>
        <w:rPr/>
      </w:pPr>
      <w:r>
        <w:rPr/>
        <w:t>Produkt zostanie uznany za zgodny funkcjonalnie, jeśli:</w:t>
      </w:r>
    </w:p>
    <w:p>
      <w:pPr>
        <w:pStyle w:val="Normal"/>
        <w:numPr>
          <w:ilvl w:val="0"/>
          <w:numId w:val="62"/>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62"/>
        </w:numPr>
        <w:tabs>
          <w:tab w:val="clear" w:pos="708"/>
          <w:tab w:val="left" w:pos="993" w:leader="none"/>
        </w:tabs>
        <w:spacing w:lineRule="auto" w:line="259" w:before="0" w:after="160"/>
        <w:jc w:val="both"/>
        <w:rPr/>
      </w:pPr>
      <w:r>
        <w:rPr/>
        <w:t>Zawiera w pełni działające mechanizmy filtrowania danych pacjentów według sal, przypisanego personelu oraz innych zdefiniowanych parametrów.</w:t>
      </w:r>
    </w:p>
    <w:p>
      <w:pPr>
        <w:pStyle w:val="Normal"/>
        <w:numPr>
          <w:ilvl w:val="0"/>
          <w:numId w:val="62"/>
        </w:numPr>
        <w:tabs>
          <w:tab w:val="clear" w:pos="708"/>
          <w:tab w:val="left" w:pos="993" w:leader="none"/>
        </w:tabs>
        <w:spacing w:lineRule="auto" w:line="259" w:before="0" w:after="160"/>
        <w:jc w:val="both"/>
        <w:rPr/>
      </w:pPr>
      <w:r>
        <w:rPr/>
        <w:t>Zapewnia możliwość przeglądu działań pielęgniarskich oraz ewidencji ich wykonania przez personel, minimum w zakresie zleconych pomiarów, podań leków, procedur oraz diagnoz pielęgniarskich.</w:t>
      </w:r>
    </w:p>
    <w:p>
      <w:pPr>
        <w:pStyle w:val="Normal"/>
        <w:numPr>
          <w:ilvl w:val="0"/>
          <w:numId w:val="62"/>
        </w:numPr>
        <w:tabs>
          <w:tab w:val="clear" w:pos="708"/>
          <w:tab w:val="left" w:pos="993" w:leader="none"/>
        </w:tabs>
        <w:spacing w:lineRule="auto" w:line="259" w:before="0" w:after="160"/>
        <w:jc w:val="both"/>
        <w:rPr/>
      </w:pPr>
      <w:r>
        <w:rPr/>
        <w:t>Udostępnia funkcję przypisywania personelu do sal oraz wizualizację przypisania w formie graficznej.</w:t>
      </w:r>
    </w:p>
    <w:p>
      <w:pPr>
        <w:pStyle w:val="Normal"/>
        <w:numPr>
          <w:ilvl w:val="0"/>
          <w:numId w:val="62"/>
        </w:numPr>
        <w:tabs>
          <w:tab w:val="clear" w:pos="708"/>
          <w:tab w:val="left" w:pos="993" w:leader="none"/>
        </w:tabs>
        <w:spacing w:lineRule="auto" w:line="259" w:before="0" w:after="160"/>
        <w:jc w:val="both"/>
        <w:rPr/>
      </w:pPr>
      <w:r>
        <w:rPr/>
        <w:t>Zapewnia pełną integrację z systemem HIS w dostępnym w ramach pulpitu zakresie, na poziomie odczytu oraz zapisu następujących danych: dane osobowe, historia leczenia, wyniki badań oraz informacje o szczepieniach.</w:t>
      </w:r>
    </w:p>
    <w:p>
      <w:pPr>
        <w:pStyle w:val="Normal"/>
        <w:numPr>
          <w:ilvl w:val="0"/>
          <w:numId w:val="62"/>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62"/>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62"/>
        </w:numPr>
        <w:tabs>
          <w:tab w:val="clear" w:pos="708"/>
          <w:tab w:val="left" w:pos="993" w:leader="none"/>
        </w:tabs>
        <w:spacing w:lineRule="auto" w:line="259" w:before="0" w:after="160"/>
        <w:jc w:val="both"/>
        <w:rPr/>
      </w:pPr>
      <w:r>
        <w:rPr/>
        <w:t>Wspiera prezentację oraz ewidencję bilansu płynów.</w:t>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rPr>
          <w:b/>
          <w:bCs/>
        </w:rPr>
      </w:pPr>
      <w:r>
        <w:rPr>
          <w:b/>
          <w:bCs/>
        </w:rPr>
        <w:t>Warunki startowe (minimalna wersja AMMS)</w:t>
      </w:r>
    </w:p>
    <w:p>
      <w:pPr>
        <w:pStyle w:val="Normal"/>
        <w:numPr>
          <w:ilvl w:val="1"/>
          <w:numId w:val="60"/>
        </w:numPr>
        <w:tabs>
          <w:tab w:val="clear" w:pos="708"/>
          <w:tab w:val="left" w:pos="993" w:leader="none"/>
        </w:tabs>
        <w:spacing w:lineRule="auto" w:line="240" w:before="0" w:after="0"/>
        <w:ind w:hanging="357" w:left="1440"/>
        <w:rPr/>
      </w:pPr>
      <w:r>
        <w:rPr/>
        <w:t xml:space="preserve">Licencja: </w:t>
      </w:r>
    </w:p>
    <w:p>
      <w:pPr>
        <w:pStyle w:val="Normal"/>
        <w:numPr>
          <w:ilvl w:val="2"/>
          <w:numId w:val="60"/>
        </w:numPr>
        <w:tabs>
          <w:tab w:val="clear" w:pos="708"/>
          <w:tab w:val="left" w:pos="993" w:leader="none"/>
        </w:tabs>
        <w:spacing w:lineRule="auto" w:line="240" w:before="0" w:after="0"/>
        <w:rPr/>
      </w:pPr>
      <w:r>
        <w:rPr/>
        <w:t>Moduł: AMPD_PM:</w:t>
      </w:r>
    </w:p>
    <w:p>
      <w:pPr>
        <w:pStyle w:val="Normal"/>
        <w:numPr>
          <w:ilvl w:val="3"/>
          <w:numId w:val="60"/>
        </w:numPr>
        <w:tabs>
          <w:tab w:val="clear" w:pos="708"/>
          <w:tab w:val="left" w:pos="993" w:leader="none"/>
        </w:tabs>
        <w:spacing w:lineRule="auto" w:line="240" w:before="0" w:after="0"/>
        <w:rPr/>
      </w:pPr>
      <w:r>
        <w:rPr/>
        <w:t>Funkcjonalność: OBCHOD_LEKARSKI_2023.</w:t>
      </w:r>
    </w:p>
    <w:p>
      <w:pPr>
        <w:pStyle w:val="Normal"/>
        <w:numPr>
          <w:ilvl w:val="2"/>
          <w:numId w:val="60"/>
        </w:numPr>
        <w:tabs>
          <w:tab w:val="clear" w:pos="708"/>
          <w:tab w:val="left" w:pos="993" w:leader="none"/>
        </w:tabs>
        <w:spacing w:lineRule="auto" w:line="240" w:before="0" w:after="0"/>
        <w:rPr/>
      </w:pPr>
      <w:r>
        <w:rPr/>
        <w:t>Moduł: AMPD_PM_PIELEGNIARKA_2024.</w:t>
      </w:r>
    </w:p>
    <w:p>
      <w:pPr>
        <w:pStyle w:val="Normal"/>
        <w:numPr>
          <w:ilvl w:val="1"/>
          <w:numId w:val="60"/>
        </w:numPr>
        <w:tabs>
          <w:tab w:val="clear" w:pos="708"/>
          <w:tab w:val="left" w:pos="993" w:leader="none"/>
        </w:tabs>
        <w:spacing w:lineRule="auto" w:line="240" w:before="0" w:after="0"/>
        <w:ind w:hanging="357" w:left="1440"/>
        <w:rPr/>
      </w:pPr>
      <w:r>
        <w:rPr/>
        <w:t>Wdrożony i prawidłowo skonfigurowany: Ruch Chorych AMMS.</w:t>
      </w:r>
    </w:p>
    <w:p>
      <w:pPr>
        <w:pStyle w:val="Normal"/>
        <w:numPr>
          <w:ilvl w:val="0"/>
          <w:numId w:val="61"/>
        </w:numPr>
        <w:tabs>
          <w:tab w:val="clear" w:pos="708"/>
          <w:tab w:val="left" w:pos="993" w:leader="none"/>
        </w:tabs>
        <w:spacing w:lineRule="auto" w:line="259" w:before="0" w:after="160"/>
        <w:rPr>
          <w:b/>
          <w:bCs/>
        </w:rPr>
      </w:pPr>
      <w:r>
        <w:rPr>
          <w:b/>
          <w:bCs/>
        </w:rPr>
        <w:t>Wymagania techniczne:</w:t>
      </w:r>
    </w:p>
    <w:p>
      <w:pPr>
        <w:pStyle w:val="ListParagraph"/>
        <w:numPr>
          <w:ilvl w:val="1"/>
          <w:numId w:val="6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7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6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T</w:t>
      </w:r>
      <w:r>
        <w:rPr>
          <w:rFonts w:eastAsia="" w:eastAsiaTheme="minorEastAsia"/>
          <w:color w:themeColor="text1" w:val="000000"/>
        </w:rPr>
        <w:t>ablet</w:t>
      </w:r>
      <w:r>
        <w:rPr>
          <w:rFonts w:eastAsia="Aptos" w:cs="Aptos" w:ascii="Aptos" w:hAnsi="Aptos"/>
          <w:color w:themeColor="text1" w:val="000000"/>
        </w:rPr>
        <w:t xml:space="preserve">: </w:t>
      </w:r>
    </w:p>
    <w:p>
      <w:pPr>
        <w:pStyle w:val="ListParagraph"/>
        <w:numPr>
          <w:ilvl w:val="2"/>
          <w:numId w:val="69"/>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69"/>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69"/>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69"/>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tabs>
          <w:tab w:val="clear" w:pos="708"/>
          <w:tab w:val="left" w:pos="993" w:leader="none"/>
        </w:tabs>
        <w:ind w:left="360"/>
        <w:rPr>
          <w:b/>
          <w:bCs/>
        </w:rPr>
      </w:pPr>
      <w:r>
        <w:rPr>
          <w:b/>
          <w:bCs/>
        </w:rPr>
      </w:r>
    </w:p>
    <w:p>
      <w:pPr>
        <w:pStyle w:val="Normal"/>
        <w:tabs>
          <w:tab w:val="clear" w:pos="708"/>
          <w:tab w:val="left" w:pos="993" w:leader="none"/>
        </w:tabs>
        <w:spacing w:lineRule="auto" w:line="240" w:before="0" w:after="0"/>
        <w:ind w:left="2160"/>
        <w:rPr/>
      </w:pPr>
      <w:r>
        <w:rPr/>
      </w:r>
    </w:p>
    <w:p>
      <w:pPr>
        <w:pStyle w:val="Normal"/>
        <w:numPr>
          <w:ilvl w:val="0"/>
          <w:numId w:val="61"/>
        </w:numPr>
        <w:tabs>
          <w:tab w:val="clear" w:pos="708"/>
          <w:tab w:val="left" w:pos="993" w:leader="none"/>
        </w:tabs>
        <w:spacing w:lineRule="auto" w:line="259" w:before="0" w:after="160"/>
        <w:rPr/>
      </w:pPr>
      <w:r>
        <w:rPr>
          <w:b/>
          <w:bCs/>
        </w:rPr>
        <w:t>Wymagania organizacyjne:</w:t>
      </w:r>
    </w:p>
    <w:p>
      <w:pPr>
        <w:pStyle w:val="Normal"/>
        <w:tabs>
          <w:tab w:val="clear" w:pos="708"/>
          <w:tab w:val="left" w:pos="993" w:leader="none"/>
        </w:tabs>
        <w:rPr/>
      </w:pPr>
      <w:r>
        <w:rPr/>
        <w:t>Brak.</w:t>
      </w:r>
    </w:p>
    <w:p>
      <w:pPr>
        <w:pStyle w:val="ListParagraph"/>
        <w:pBdr>
          <w:bottom w:val="single" w:sz="12" w:space="1" w:color="000000"/>
        </w:pBdr>
        <w:spacing w:lineRule="auto" w:line="240"/>
        <w:ind w:left="0"/>
        <w:jc w:val="both"/>
        <w:rPr>
          <w:b/>
          <w:bCs/>
          <w:sz w:val="28"/>
          <w:szCs w:val="24"/>
        </w:rPr>
      </w:pPr>
      <w:r>
        <w:rPr>
          <w:b/>
          <w:bCs/>
          <w:sz w:val="28"/>
          <w:szCs w:val="28"/>
        </w:rPr>
        <w:t xml:space="preserve">Opis wdrożenia </w:t>
      </w:r>
    </w:p>
    <w:p>
      <w:pPr>
        <w:pStyle w:val="Normal"/>
        <w:tabs>
          <w:tab w:val="clear" w:pos="708"/>
          <w:tab w:val="left" w:pos="993" w:leader="none"/>
        </w:tabs>
        <w:spacing w:lineRule="auto" w:line="240" w:before="0" w:after="0"/>
        <w:rPr>
          <w:highlight w:val="yellow"/>
        </w:rPr>
      </w:pPr>
      <w:r>
        <w:rPr>
          <w:highlight w:val="yellow"/>
        </w:rPr>
      </w:r>
    </w:p>
    <w:p>
      <w:pPr>
        <w:pStyle w:val="ListParagraph"/>
        <w:numPr>
          <w:ilvl w:val="0"/>
          <w:numId w:val="67"/>
        </w:numPr>
        <w:tabs>
          <w:tab w:val="clear" w:pos="708"/>
          <w:tab w:val="left" w:pos="993" w:leader="none"/>
        </w:tabs>
        <w:spacing w:lineRule="auto" w:line="240" w:before="0" w:after="0"/>
        <w:ind w:hanging="357" w:lef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spacing w:lineRule="auto" w:line="240" w:before="0" w:after="0"/>
        <w:ind w:left="720"/>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Normal"/>
        <w:tabs>
          <w:tab w:val="clear" w:pos="708"/>
          <w:tab w:val="left" w:pos="993" w:leader="none"/>
        </w:tabs>
        <w:spacing w:lineRule="auto" w:line="240" w:before="0" w:after="0"/>
        <w:ind w:lef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66"/>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w:t>
      </w:r>
    </w:p>
    <w:p>
      <w:pPr>
        <w:pStyle w:val="ListParagraph"/>
        <w:numPr>
          <w:ilvl w:val="0"/>
          <w:numId w:val="66"/>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66"/>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Normal"/>
        <w:tabs>
          <w:tab w:val="clear" w:pos="708"/>
          <w:tab w:val="left" w:pos="993" w:leader="none"/>
        </w:tabs>
        <w:spacing w:lineRule="auto" w:line="240" w:before="0" w:after="0"/>
        <w:ind w:left="72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6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ind w:left="720"/>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tabs>
          <w:tab w:val="clear" w:pos="708"/>
          <w:tab w:val="left" w:pos="993" w:leader="none"/>
        </w:tabs>
        <w:spacing w:lineRule="auto" w:line="240" w:before="0" w:after="0"/>
        <w:ind w:hanging="357" w:lef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6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Instalacja licencji AMPD_PM</w:t>
      </w:r>
    </w:p>
    <w:p>
      <w:pPr>
        <w:pStyle w:val="ListParagraph"/>
        <w:numPr>
          <w:ilvl w:val="0"/>
          <w:numId w:val="6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Szkolenie i konsultacje użytkowników</w:t>
      </w:r>
    </w:p>
    <w:p>
      <w:pPr>
        <w:pStyle w:val="Normal"/>
        <w:tabs>
          <w:tab w:val="clear" w:pos="708"/>
          <w:tab w:val="left" w:pos="993" w:leader="none"/>
        </w:tabs>
        <w:spacing w:lineRule="auto" w:line="240" w:before="0" w:after="0"/>
        <w:rPr>
          <w:highlight w:val="yellow"/>
        </w:rPr>
      </w:pPr>
      <w:r>
        <w:rPr>
          <w:highlight w:val="yellow"/>
        </w:rPr>
      </w:r>
    </w:p>
    <w:p>
      <w:pPr>
        <w:pStyle w:val="Normal"/>
        <w:tabs>
          <w:tab w:val="clear" w:pos="708"/>
          <w:tab w:val="left" w:pos="993" w:leader="none"/>
        </w:tabs>
        <w:spacing w:lineRule="auto" w:line="240" w:before="0" w:after="0"/>
        <w:rPr>
          <w:highlight w:val="yellow"/>
        </w:rPr>
      </w:pPr>
      <w:r>
        <w:rPr>
          <w:highlight w:val="yellow"/>
        </w:rPr>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t>3.Pulpit Anestezjologiczny</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63"/>
        </w:numPr>
        <w:tabs>
          <w:tab w:val="clear" w:pos="708"/>
          <w:tab w:val="left" w:pos="993" w:leader="none"/>
        </w:tabs>
        <w:spacing w:lineRule="auto" w:line="259" w:before="0" w:after="160"/>
        <w:contextualSpacing/>
        <w:jc w:val="both"/>
        <w:rPr/>
      </w:pPr>
      <w:r>
        <w:rPr/>
        <w:t>System udostępnia Pulpity dedykowane grupom personelu medycznego, prezentujące najważniejsze informacje medyczne o aktualnym stanie pacjenta.</w:t>
      </w:r>
    </w:p>
    <w:p>
      <w:pPr>
        <w:pStyle w:val="ListParagraph"/>
        <w:numPr>
          <w:ilvl w:val="1"/>
          <w:numId w:val="63"/>
        </w:numPr>
        <w:tabs>
          <w:tab w:val="clear" w:pos="708"/>
          <w:tab w:val="left" w:pos="993" w:leader="none"/>
        </w:tabs>
        <w:spacing w:lineRule="auto" w:line="259" w:before="0" w:after="160"/>
        <w:contextualSpacing/>
        <w:jc w:val="both"/>
        <w:rPr/>
      </w:pPr>
      <w:r>
        <w:rPr/>
        <w:t>System musi być dostępny dla różnych klas urządzeń - minimum: komputer stacjonarny, laptop, tablet, smartfon</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63"/>
        </w:numPr>
        <w:tabs>
          <w:tab w:val="clear" w:pos="708"/>
          <w:tab w:val="left" w:pos="993" w:leader="none"/>
        </w:tabs>
        <w:spacing w:lineRule="auto" w:line="259" w:before="0" w:after="160"/>
        <w:contextualSpacing/>
        <w:jc w:val="both"/>
        <w:rPr/>
      </w:pPr>
      <w:r>
        <w:rPr/>
        <w:t>- danych osobowych,</w:t>
      </w:r>
    </w:p>
    <w:p>
      <w:pPr>
        <w:pStyle w:val="ListParagraph"/>
        <w:numPr>
          <w:ilvl w:val="2"/>
          <w:numId w:val="63"/>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63"/>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63"/>
        </w:numPr>
        <w:tabs>
          <w:tab w:val="clear" w:pos="708"/>
          <w:tab w:val="left" w:pos="993" w:leader="none"/>
        </w:tabs>
        <w:spacing w:lineRule="auto" w:line="259" w:before="0" w:after="160"/>
        <w:contextualSpacing/>
        <w:jc w:val="both"/>
        <w:rPr/>
      </w:pPr>
      <w:r>
        <w:rPr/>
        <w:t>- dokumentacji medycznej.</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dostosowanie zawartości ekranu (pulpitu) do Jednostki organizacyjnej, w zakresie, formie oraz kolejności prezentowanych danych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uprawnionemu użytkownikowi na dostosowanie pulpitu do jego indywidualnych preferencji, w zakresie, formie oraz kolejności prezentowanych danych</w:t>
      </w:r>
    </w:p>
    <w:p>
      <w:pPr>
        <w:pStyle w:val="ListParagraph"/>
        <w:numPr>
          <w:ilvl w:val="1"/>
          <w:numId w:val="63"/>
        </w:numPr>
        <w:tabs>
          <w:tab w:val="clear" w:pos="708"/>
          <w:tab w:val="left" w:pos="993" w:leader="none"/>
        </w:tabs>
        <w:spacing w:lineRule="auto" w:line="259" w:before="0" w:after="160"/>
        <w:contextualSpacing/>
        <w:jc w:val="both"/>
        <w:rPr/>
      </w:pPr>
      <w:r>
        <w:rPr/>
        <w:t>System musi zapewniać możliwość dostosowania konfiguracji pulpitu dla urządzeń z różną rozdzielczością i orientacją ekranu</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63"/>
        </w:numPr>
        <w:tabs>
          <w:tab w:val="clear" w:pos="708"/>
          <w:tab w:val="left" w:pos="993" w:leader="none"/>
        </w:tabs>
        <w:spacing w:lineRule="auto" w:line="259" w:before="0" w:after="160"/>
        <w:contextualSpacing/>
        <w:jc w:val="both"/>
        <w:rPr/>
      </w:pPr>
      <w:r>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63"/>
        </w:numPr>
        <w:tabs>
          <w:tab w:val="clear" w:pos="708"/>
          <w:tab w:val="left" w:pos="993" w:leader="none"/>
        </w:tabs>
        <w:spacing w:lineRule="auto" w:line="259" w:before="0" w:after="160"/>
        <w:contextualSpacing/>
        <w:jc w:val="both"/>
        <w:rPr/>
      </w:pPr>
      <w:r>
        <w:rPr/>
        <w:t>System w ramach konfiguracji pulpitu powinien umożliwić:</w:t>
      </w:r>
    </w:p>
    <w:p>
      <w:pPr>
        <w:pStyle w:val="ListParagraph"/>
        <w:numPr>
          <w:ilvl w:val="2"/>
          <w:numId w:val="63"/>
        </w:numPr>
        <w:tabs>
          <w:tab w:val="clear" w:pos="708"/>
          <w:tab w:val="left" w:pos="993" w:leader="none"/>
        </w:tabs>
        <w:spacing w:lineRule="auto" w:line="259" w:before="0" w:after="160"/>
        <w:contextualSpacing/>
        <w:jc w:val="both"/>
        <w:rPr/>
      </w:pPr>
      <w:r>
        <w:rPr/>
        <w:t>- dodanie/usunięcie nowej sekcji,</w:t>
      </w:r>
    </w:p>
    <w:p>
      <w:pPr>
        <w:pStyle w:val="ListParagraph"/>
        <w:numPr>
          <w:ilvl w:val="2"/>
          <w:numId w:val="63"/>
        </w:numPr>
        <w:tabs>
          <w:tab w:val="clear" w:pos="708"/>
          <w:tab w:val="left" w:pos="993" w:leader="none"/>
        </w:tabs>
        <w:spacing w:lineRule="auto" w:line="259" w:before="0" w:after="160"/>
        <w:contextualSpacing/>
        <w:jc w:val="both"/>
        <w:rPr/>
      </w:pPr>
      <w:r>
        <w:rPr/>
        <w:t>- położenie na nowo utworzonej sekcji kafelków,</w:t>
      </w:r>
    </w:p>
    <w:p>
      <w:pPr>
        <w:pStyle w:val="ListParagraph"/>
        <w:numPr>
          <w:ilvl w:val="2"/>
          <w:numId w:val="63"/>
        </w:numPr>
        <w:tabs>
          <w:tab w:val="clear" w:pos="708"/>
          <w:tab w:val="left" w:pos="993" w:leader="none"/>
        </w:tabs>
        <w:spacing w:lineRule="auto" w:line="259" w:before="0" w:after="160"/>
        <w:contextualSpacing/>
        <w:jc w:val="both"/>
        <w:rPr/>
      </w:pPr>
      <w:r>
        <w:rPr/>
        <w:t>- zmianę wielkości poszczególnych kafelków,</w:t>
      </w:r>
    </w:p>
    <w:p>
      <w:pPr>
        <w:pStyle w:val="ListParagraph"/>
        <w:numPr>
          <w:ilvl w:val="2"/>
          <w:numId w:val="63"/>
        </w:numPr>
        <w:tabs>
          <w:tab w:val="clear" w:pos="708"/>
          <w:tab w:val="left" w:pos="993" w:leader="none"/>
        </w:tabs>
        <w:spacing w:lineRule="auto" w:line="259" w:before="0" w:after="160"/>
        <w:contextualSpacing/>
        <w:jc w:val="both"/>
        <w:rPr/>
      </w:pPr>
      <w:r>
        <w:rPr/>
        <w:t>- zmianę miejsca położenia poszczególnych kafelków,</w:t>
      </w:r>
    </w:p>
    <w:p>
      <w:pPr>
        <w:pStyle w:val="ListParagraph"/>
        <w:numPr>
          <w:ilvl w:val="2"/>
          <w:numId w:val="63"/>
        </w:numPr>
        <w:tabs>
          <w:tab w:val="clear" w:pos="708"/>
          <w:tab w:val="left" w:pos="993" w:leader="none"/>
        </w:tabs>
        <w:spacing w:lineRule="auto" w:line="259" w:before="0" w:after="160"/>
        <w:contextualSpacing/>
        <w:jc w:val="both"/>
        <w:rPr/>
      </w:pPr>
      <w:r>
        <w:rPr/>
        <w:t>- zapisanie ustawienia pulpitu dla bieżącej rozdzielczości,</w:t>
      </w:r>
    </w:p>
    <w:p>
      <w:pPr>
        <w:pStyle w:val="ListParagraph"/>
        <w:numPr>
          <w:ilvl w:val="2"/>
          <w:numId w:val="63"/>
        </w:numPr>
        <w:tabs>
          <w:tab w:val="clear" w:pos="708"/>
          <w:tab w:val="left" w:pos="993" w:leader="none"/>
        </w:tabs>
        <w:spacing w:lineRule="auto" w:line="259" w:before="0" w:after="160"/>
        <w:contextualSpacing/>
        <w:jc w:val="both"/>
        <w:rPr/>
      </w:pPr>
      <w:r>
        <w:rPr/>
        <w:t>- przywrócenie domyślnych ustawień,</w:t>
      </w:r>
    </w:p>
    <w:p>
      <w:pPr>
        <w:pStyle w:val="ListParagraph"/>
        <w:numPr>
          <w:ilvl w:val="1"/>
          <w:numId w:val="63"/>
        </w:numPr>
        <w:tabs>
          <w:tab w:val="clear" w:pos="708"/>
          <w:tab w:val="left" w:pos="993" w:leader="none"/>
        </w:tabs>
        <w:spacing w:lineRule="auto" w:line="259" w:before="0" w:after="160"/>
        <w:contextualSpacing/>
        <w:jc w:val="both"/>
        <w:rPr/>
      </w:pPr>
      <w:r>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63"/>
        </w:numPr>
        <w:tabs>
          <w:tab w:val="clear" w:pos="708"/>
          <w:tab w:val="left" w:pos="993" w:leader="none"/>
        </w:tabs>
        <w:spacing w:lineRule="auto" w:line="259" w:before="0" w:after="160"/>
        <w:contextualSpacing/>
        <w:jc w:val="both"/>
        <w:rPr/>
      </w:pPr>
      <w:r>
        <w:rPr/>
        <w:t>System musi respektować uprawnienia użytkownika do dostępu do danych pacjentów jednostek objętych szczególną ochroną danych (np. jednostki psychiatryczne)</w:t>
      </w:r>
    </w:p>
    <w:p>
      <w:pPr>
        <w:pStyle w:val="ListParagraph"/>
        <w:numPr>
          <w:ilvl w:val="1"/>
          <w:numId w:val="63"/>
        </w:numPr>
        <w:tabs>
          <w:tab w:val="clear" w:pos="708"/>
          <w:tab w:val="left" w:pos="993" w:leader="none"/>
        </w:tabs>
        <w:spacing w:lineRule="auto" w:line="259" w:before="0" w:after="160"/>
        <w:contextualSpacing/>
        <w:jc w:val="both"/>
        <w:rPr/>
      </w:pPr>
      <w:r>
        <w:rPr/>
        <w:t>System umożliwia szybkie przełączenie pulpitu na innego pacjenta z listy określonej w wyszukaniu pacjentów (np. pacjentów określonej sali)</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rejestrację i prezentację dowolnych uwag, notatek w formie dowolnego tekstu, dedykowanego konkretnemu pacjentowi i do określonego dnia</w:t>
      </w:r>
    </w:p>
    <w:p>
      <w:pPr>
        <w:pStyle w:val="ListParagraph"/>
        <w:numPr>
          <w:ilvl w:val="1"/>
          <w:numId w:val="63"/>
        </w:numPr>
        <w:tabs>
          <w:tab w:val="clear" w:pos="708"/>
          <w:tab w:val="left" w:pos="993" w:leader="none"/>
        </w:tabs>
        <w:spacing w:lineRule="auto" w:line="259" w:before="0" w:after="160"/>
        <w:contextualSpacing/>
        <w:jc w:val="both"/>
        <w:rPr/>
      </w:pPr>
      <w:r>
        <w:rPr/>
        <w:t>System musi prezentować fakt pozostawienia notatki na dany dzień w formie osi czasu</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zapisywanie własnych notatek związanych z wybranym pacjentem</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zapisywanie notatek publicznych (dostępnych dla całego personelu) związanych z wybranym pacjentem</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notatek na dedykowanym kafelku oraz na wykresie podstawowych pomiarów.</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usuwanie notatek.</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danych w postaci niezależnych kafelków (pobierających dane osobno) oraz zapewniać możliwość dostosowania układu tych kafelków przez użytkownika.</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kontekstowe wywołanie pulpitów medycznych bezpośrednio z ekranów systemu HIS.</w:t>
      </w:r>
    </w:p>
    <w:p>
      <w:pPr>
        <w:pStyle w:val="ListParagraph"/>
        <w:numPr>
          <w:ilvl w:val="1"/>
          <w:numId w:val="63"/>
        </w:numPr>
        <w:tabs>
          <w:tab w:val="clear" w:pos="708"/>
          <w:tab w:val="left" w:pos="993" w:leader="none"/>
        </w:tabs>
        <w:spacing w:lineRule="auto" w:line="259" w:before="0" w:after="160"/>
        <w:contextualSpacing/>
        <w:jc w:val="both"/>
        <w:rPr/>
      </w:pPr>
      <w:r>
        <w:rPr/>
        <w:t>Musi być możliwość wywołania pulpitu jako odrębnego systemu za pomocą dedykowanego linku, zarówno na urządzeniach mobilnych (tablety), jak i stacjonarnych.</w:t>
      </w:r>
    </w:p>
    <w:p>
      <w:pPr>
        <w:pStyle w:val="ListParagraph"/>
        <w:numPr>
          <w:ilvl w:val="1"/>
          <w:numId w:val="63"/>
        </w:numPr>
        <w:tabs>
          <w:tab w:val="clear" w:pos="708"/>
          <w:tab w:val="left" w:pos="993" w:leader="none"/>
        </w:tabs>
        <w:spacing w:lineRule="auto" w:line="259" w:before="0" w:after="160"/>
        <w:contextualSpacing/>
        <w:jc w:val="both"/>
        <w:rPr/>
      </w:pPr>
      <w:r>
        <w:rPr/>
        <w:t>System musi selekcjonować prezentowane dane do najważniejszych informacji oraz umożliwiać przełączenie widoku na dane szczegółowe.</w:t>
      </w:r>
    </w:p>
    <w:p>
      <w:pPr>
        <w:pStyle w:val="ListParagraph"/>
        <w:numPr>
          <w:ilvl w:val="1"/>
          <w:numId w:val="63"/>
        </w:numPr>
        <w:tabs>
          <w:tab w:val="clear" w:pos="708"/>
          <w:tab w:val="left" w:pos="993" w:leader="none"/>
        </w:tabs>
        <w:spacing w:lineRule="auto" w:line="259" w:before="0" w:after="160"/>
        <w:contextualSpacing/>
        <w:jc w:val="both"/>
        <w:rPr/>
      </w:pPr>
      <w:r>
        <w:rPr/>
        <w:t>Dane w systemie muszą być prezentowane w sposób dostosowany do ich charakteru, z możliwością zmiany formy prezentacji (np. wykresy, tabele, bezpośredni podgląd zawartości dokumentów).</w:t>
      </w:r>
    </w:p>
    <w:p>
      <w:pPr>
        <w:pStyle w:val="ListParagraph"/>
        <w:numPr>
          <w:ilvl w:val="1"/>
          <w:numId w:val="63"/>
        </w:numPr>
        <w:tabs>
          <w:tab w:val="clear" w:pos="708"/>
          <w:tab w:val="left" w:pos="993" w:leader="none"/>
        </w:tabs>
        <w:spacing w:lineRule="auto" w:line="259" w:before="0" w:after="160"/>
        <w:contextualSpacing/>
        <w:jc w:val="both"/>
        <w:rPr/>
      </w:pPr>
      <w:r>
        <w:rPr/>
        <w:t>Interfejs użytkownika musi być w pełni responsywny i dostosowywać się do wielkości, rozdzielczości oraz orientacji ekranu. Musi być również zgodny ze standardem WCAG 2.1, umożliwiając pracę osobom z niepełnosprawnościami.</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listy pacjentów oddziału z wyróżnieniem pacjentów z nowymi wynikami badań.</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wyszukiwanie pacjentów za pomocą skanera kodów paskowych lub QR.</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podstawowych pomiarów w formie wykresu.</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pomiarów w formie listy.</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przegląd bilansu płynów z odniesieniem do poprzedniego okresu.</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oraz autoryzowanie zewnętrznych danych pomiarowych przy użyciu mechanizmu buforowania danych.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oraz zlecanie badań laboratoryjnych i diagnostycznych.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przegląd oraz zlecanie konsultacji, operacji i zabiegów oraz przegląd obserwacji lekarskich.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przegląd zleconych oraz podawanych leków.</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przegląd pełnej historii pacjenta.</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porównywanie wyników, w tym wyników opisowych, liczbowych oraz załączników.</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ewidencję obserwacji lekarskich z wykorzystaniem mechanizmu tekstów standardowych.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przegląd oraz ewidencję wywiadów i badań fizykalnych z wykorzystaniem mechanizmu tekstów standardowych.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ciągły dostęp do danych na pulpicie podczas wykonywania ewidencji (np. obserwacji lekarskiej) oraz zlecania (np. badań laboratoryjnych).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danych ratunkowych.</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przegląd dokumentacji medycznej.</w:t>
      </w:r>
    </w:p>
    <w:p>
      <w:pPr>
        <w:pStyle w:val="ListParagraph"/>
        <w:numPr>
          <w:ilvl w:val="1"/>
          <w:numId w:val="63"/>
        </w:numPr>
        <w:tabs>
          <w:tab w:val="clear" w:pos="708"/>
          <w:tab w:val="left" w:pos="993" w:leader="none"/>
        </w:tabs>
        <w:spacing w:lineRule="auto" w:line="259" w:before="0" w:after="160"/>
        <w:contextualSpacing/>
        <w:jc w:val="both"/>
        <w:rPr/>
      </w:pPr>
      <w:r>
        <w:rPr/>
        <w:t>System musi zapewniać dostęp do funkcji nawigacyjnych po systemie HIS („szybkie akcje”), takich jak np.: dodawanie wywiadu czy przejście do dokumentacji medycznej.</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listy pacjentów z możliwością oznaczania własnych pacjentów w trzech układach:</w:t>
      </w:r>
    </w:p>
    <w:p>
      <w:pPr>
        <w:pStyle w:val="ListParagraph"/>
        <w:numPr>
          <w:ilvl w:val="2"/>
          <w:numId w:val="63"/>
        </w:numPr>
        <w:tabs>
          <w:tab w:val="clear" w:pos="708"/>
          <w:tab w:val="left" w:pos="993" w:leader="none"/>
        </w:tabs>
        <w:spacing w:lineRule="auto" w:line="259" w:before="0" w:after="160"/>
        <w:contextualSpacing/>
        <w:jc w:val="both"/>
        <w:rPr/>
      </w:pPr>
      <w:r>
        <w:rPr/>
        <w:t>- planowanych zabiegów,</w:t>
      </w:r>
    </w:p>
    <w:p>
      <w:pPr>
        <w:pStyle w:val="ListParagraph"/>
        <w:numPr>
          <w:ilvl w:val="2"/>
          <w:numId w:val="63"/>
        </w:numPr>
        <w:tabs>
          <w:tab w:val="clear" w:pos="708"/>
          <w:tab w:val="left" w:pos="993" w:leader="none"/>
        </w:tabs>
        <w:spacing w:lineRule="auto" w:line="259" w:before="0" w:after="160"/>
        <w:contextualSpacing/>
        <w:jc w:val="both"/>
        <w:rPr/>
      </w:pPr>
      <w:r>
        <w:rPr/>
        <w:t>- konsultacji anestezjologa,</w:t>
      </w:r>
    </w:p>
    <w:p>
      <w:pPr>
        <w:pStyle w:val="ListParagraph"/>
        <w:numPr>
          <w:ilvl w:val="2"/>
          <w:numId w:val="63"/>
        </w:numPr>
        <w:tabs>
          <w:tab w:val="clear" w:pos="708"/>
          <w:tab w:val="left" w:pos="993" w:leader="none"/>
        </w:tabs>
        <w:spacing w:lineRule="auto" w:line="259" w:before="0" w:after="160"/>
        <w:contextualSpacing/>
        <w:jc w:val="both"/>
        <w:rPr/>
      </w:pPr>
      <w:r>
        <w:rPr/>
        <w:t>- wyszukiwania dowolnego pacjenta z bazy (niezależnie od oddziału/bloku operacyjnego)</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prezentację ekranu operacji/zabiegu zawierającego:</w:t>
      </w:r>
    </w:p>
    <w:p>
      <w:pPr>
        <w:pStyle w:val="ListParagraph"/>
        <w:numPr>
          <w:ilvl w:val="2"/>
          <w:numId w:val="63"/>
        </w:numPr>
        <w:tabs>
          <w:tab w:val="clear" w:pos="708"/>
          <w:tab w:val="left" w:pos="993" w:leader="none"/>
        </w:tabs>
        <w:spacing w:lineRule="auto" w:line="259" w:before="0" w:after="160"/>
        <w:contextualSpacing/>
        <w:jc w:val="both"/>
        <w:rPr/>
      </w:pPr>
      <w:r>
        <w:rPr/>
        <w:t>- przegląd znieczuleń z możliwością przejścia do miejsca uzupełnienia,</w:t>
      </w:r>
    </w:p>
    <w:p>
      <w:pPr>
        <w:pStyle w:val="ListParagraph"/>
        <w:numPr>
          <w:ilvl w:val="2"/>
          <w:numId w:val="63"/>
        </w:numPr>
        <w:tabs>
          <w:tab w:val="clear" w:pos="708"/>
          <w:tab w:val="left" w:pos="993" w:leader="none"/>
        </w:tabs>
        <w:spacing w:lineRule="auto" w:line="259" w:before="0" w:after="160"/>
        <w:contextualSpacing/>
        <w:jc w:val="both"/>
        <w:rPr/>
      </w:pPr>
      <w:r>
        <w:rPr/>
        <w:t>- przegląd rozpoznań przed- i pozabiegowych,</w:t>
      </w:r>
    </w:p>
    <w:p>
      <w:pPr>
        <w:pStyle w:val="ListParagraph"/>
        <w:numPr>
          <w:ilvl w:val="2"/>
          <w:numId w:val="63"/>
        </w:numPr>
        <w:tabs>
          <w:tab w:val="clear" w:pos="708"/>
          <w:tab w:val="left" w:pos="993" w:leader="none"/>
        </w:tabs>
        <w:spacing w:lineRule="auto" w:line="259" w:before="0" w:after="160"/>
        <w:contextualSpacing/>
        <w:jc w:val="both"/>
        <w:rPr/>
      </w:pPr>
      <w:r>
        <w:rPr/>
        <w:t>- przegląd kwalifikacji anestezjologicznej z możliwością jej uzupełniania przy ciągłym dostępie do zawartości pulpitu,</w:t>
      </w:r>
    </w:p>
    <w:p>
      <w:pPr>
        <w:pStyle w:val="ListParagraph"/>
        <w:numPr>
          <w:ilvl w:val="2"/>
          <w:numId w:val="63"/>
        </w:numPr>
        <w:tabs>
          <w:tab w:val="clear" w:pos="708"/>
          <w:tab w:val="left" w:pos="993" w:leader="none"/>
        </w:tabs>
        <w:spacing w:lineRule="auto" w:line="259" w:before="0" w:after="160"/>
        <w:contextualSpacing/>
        <w:jc w:val="both"/>
        <w:rPr/>
      </w:pPr>
      <w:r>
        <w:rPr/>
        <w:t>- przegląd danych o krwi oraz zabezpieczeniu preparatów do zabiegu, wraz z możliwością przejścia do zamówienia na preparat krwi.</w:t>
      </w:r>
    </w:p>
    <w:p>
      <w:pPr>
        <w:pStyle w:val="Normal"/>
        <w:numPr>
          <w:ilvl w:val="0"/>
          <w:numId w:val="59"/>
        </w:numPr>
        <w:tabs>
          <w:tab w:val="clear" w:pos="708"/>
          <w:tab w:val="left" w:pos="993" w:leader="none"/>
        </w:tabs>
        <w:spacing w:lineRule="auto" w:line="259" w:before="0" w:after="160"/>
        <w:rPr/>
      </w:pPr>
      <w:r>
        <w:rPr>
          <w:b/>
          <w:bCs/>
        </w:rPr>
        <w:t>Wewnętrzne integracje:</w:t>
      </w:r>
    </w:p>
    <w:p>
      <w:pPr>
        <w:pStyle w:val="ListParagraph"/>
        <w:numPr>
          <w:ilvl w:val="1"/>
          <w:numId w:val="59"/>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59"/>
        </w:numPr>
        <w:tabs>
          <w:tab w:val="clear" w:pos="708"/>
          <w:tab w:val="left" w:pos="993" w:leader="none"/>
        </w:tabs>
        <w:spacing w:lineRule="auto" w:line="259" w:before="0" w:after="160"/>
        <w:contextualSpacing/>
        <w:jc w:val="both"/>
        <w:rPr/>
      </w:pPr>
      <w:r>
        <w:rPr/>
        <w:t>- danych osobowych,</w:t>
      </w:r>
    </w:p>
    <w:p>
      <w:pPr>
        <w:pStyle w:val="ListParagraph"/>
        <w:numPr>
          <w:ilvl w:val="2"/>
          <w:numId w:val="59"/>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59"/>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59"/>
        </w:numPr>
        <w:tabs>
          <w:tab w:val="clear" w:pos="708"/>
          <w:tab w:val="left" w:pos="993" w:leader="none"/>
        </w:tabs>
        <w:spacing w:lineRule="auto" w:line="259" w:before="0" w:after="160"/>
        <w:contextualSpacing/>
        <w:jc w:val="both"/>
        <w:rPr/>
      </w:pPr>
      <w:r>
        <w:rPr/>
        <w:t>- diet, przebiegów pielęgniarskich, diagnoz pielęgniarskich, procedur, innych (pozostałych) zleceń pielęgniarskich,</w:t>
      </w:r>
    </w:p>
    <w:p>
      <w:pPr>
        <w:pStyle w:val="ListParagraph"/>
        <w:numPr>
          <w:ilvl w:val="2"/>
          <w:numId w:val="59"/>
        </w:numPr>
        <w:tabs>
          <w:tab w:val="clear" w:pos="708"/>
          <w:tab w:val="left" w:pos="993" w:leader="none"/>
        </w:tabs>
        <w:spacing w:lineRule="auto" w:line="259" w:before="0" w:after="160"/>
        <w:contextualSpacing/>
        <w:jc w:val="both"/>
        <w:rPr/>
      </w:pPr>
      <w:r>
        <w:rPr/>
        <w:t>- dokumentacji medycznej oraz kart pomocniczych.</w:t>
      </w:r>
    </w:p>
    <w:p>
      <w:pPr>
        <w:pStyle w:val="ListParagraph"/>
        <w:numPr>
          <w:ilvl w:val="1"/>
          <w:numId w:val="59"/>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Normal"/>
        <w:numPr>
          <w:ilvl w:val="1"/>
          <w:numId w:val="59"/>
        </w:numPr>
        <w:tabs>
          <w:tab w:val="clear" w:pos="708"/>
          <w:tab w:val="left" w:pos="993" w:leader="none"/>
        </w:tabs>
        <w:spacing w:lineRule="auto" w:line="259" w:before="0" w:after="160"/>
        <w:jc w:val="both"/>
        <w:rPr/>
      </w:pPr>
      <w:r>
        <w:rPr/>
        <w:t>Pulpit prezentuje dane zgromadzone w systemie HIS, bez konieczności jego uruchamiania oraz przełączania modułów tego systemu.</w:t>
      </w:r>
    </w:p>
    <w:p>
      <w:pPr>
        <w:pStyle w:val="Normal"/>
        <w:numPr>
          <w:ilvl w:val="1"/>
          <w:numId w:val="59"/>
        </w:numPr>
        <w:tabs>
          <w:tab w:val="clear" w:pos="708"/>
          <w:tab w:val="left" w:pos="993" w:leader="none"/>
        </w:tabs>
        <w:spacing w:lineRule="auto" w:line="259" w:before="0" w:after="160"/>
        <w:jc w:val="both"/>
        <w:rPr/>
      </w:pPr>
      <w:r>
        <w:rPr/>
        <w:t>Informacje tego samego typu, ewidencjonowane w ramach Pulpitu Anestezjologicznego dostępne są w modułach systemu HIS oraz innych pulpitach z rodziny Pulpitów medycznych. Przykładowo kwalifikacja anestezjologiczna dla zabiegu pacjenta wprowadzona w Pulpicie Anestezjologicznym dostępna jest w module Blok operacyjny systemu HIS. Dane dostępne są we wszystkich miejscach ich występowania w czasie rzeczywistym (nie wymagają dodatkowych synchronizacji).</w:t>
      </w:r>
    </w:p>
    <w:p>
      <w:pPr>
        <w:pStyle w:val="Normal"/>
        <w:numPr>
          <w:ilvl w:val="1"/>
          <w:numId w:val="59"/>
        </w:numPr>
        <w:tabs>
          <w:tab w:val="clear" w:pos="708"/>
          <w:tab w:val="left" w:pos="993" w:leader="none"/>
        </w:tabs>
        <w:spacing w:lineRule="auto" w:line="259" w:before="0" w:after="160"/>
        <w:jc w:val="both"/>
        <w:rPr/>
      </w:pPr>
      <w:r>
        <w:rPr/>
        <w:t>Moduł posiada wspólną bazę użytkowników z systemem HIS.</w:t>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Normal"/>
        <w:numPr>
          <w:ilvl w:val="1"/>
          <w:numId w:val="59"/>
        </w:numPr>
        <w:tabs>
          <w:tab w:val="clear" w:pos="708"/>
          <w:tab w:val="left" w:pos="993" w:leader="none"/>
        </w:tabs>
        <w:spacing w:lineRule="auto" w:line="259" w:before="0" w:after="160"/>
        <w:jc w:val="both"/>
        <w:rPr/>
      </w:pPr>
      <w:r>
        <w:rPr/>
        <w:t xml:space="preserve">Pierwsze uruchomienie produktu poprzedzone powinno być konfiguracją systemu HIS minimum w zakresie parametrów opisanych w instrukcji użytkownika dla modułu Pulpity Medyczne. </w:t>
      </w:r>
    </w:p>
    <w:p>
      <w:pPr>
        <w:pStyle w:val="ListParagraph"/>
        <w:numPr>
          <w:ilvl w:val="1"/>
          <w:numId w:val="59"/>
        </w:numPr>
        <w:tabs>
          <w:tab w:val="clear" w:pos="708"/>
          <w:tab w:val="left" w:pos="993" w:leader="none"/>
        </w:tabs>
        <w:spacing w:lineRule="auto" w:line="259" w:before="0" w:after="160"/>
        <w:contextualSpacing/>
        <w:jc w:val="both"/>
        <w:rPr/>
      </w:pPr>
      <w:r>
        <w:rPr/>
        <w:t xml:space="preserve">Lista ulubionych i preferowanych badań podczas zlecania jest listą wspólną z systemem HIS. </w:t>
      </w:r>
    </w:p>
    <w:p>
      <w:pPr>
        <w:pStyle w:val="Normal"/>
        <w:numPr>
          <w:ilvl w:val="1"/>
          <w:numId w:val="59"/>
        </w:numPr>
        <w:tabs>
          <w:tab w:val="clear" w:pos="708"/>
          <w:tab w:val="left" w:pos="993" w:leader="none"/>
        </w:tabs>
        <w:spacing w:lineRule="auto" w:line="259" w:before="0" w:after="160"/>
        <w:rPr/>
      </w:pPr>
      <w:r>
        <w:rPr/>
        <w:t>Moduł korzysta z wspólnej bazy danych z systemem HIS.</w:t>
      </w:r>
    </w:p>
    <w:p>
      <w:pPr>
        <w:pStyle w:val="Normal"/>
        <w:tabs>
          <w:tab w:val="clear" w:pos="708"/>
          <w:tab w:val="left" w:pos="993" w:leader="none"/>
        </w:tabs>
        <w:rPr/>
      </w:pPr>
      <w:r>
        <w:rPr/>
      </w:r>
    </w:p>
    <w:p>
      <w:pPr>
        <w:pStyle w:val="ListParagraph"/>
        <w:pBdr>
          <w:bottom w:val="single" w:sz="12" w:space="1" w:color="000000"/>
        </w:pBdr>
        <w:spacing w:lineRule="auto" w:line="240"/>
        <w:ind w:left="0"/>
        <w:jc w:val="both"/>
        <w:rPr>
          <w:b/>
          <w:bCs/>
          <w:sz w:val="28"/>
          <w:szCs w:val="24"/>
        </w:rPr>
      </w:pPr>
      <w:r>
        <w:rPr>
          <w:b/>
          <w:bCs/>
          <w:sz w:val="28"/>
          <w:szCs w:val="28"/>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left="720"/>
        <w:jc w:val="both"/>
        <w:rPr/>
      </w:pPr>
      <w:r>
        <w:rPr/>
        <w:t>Produkt zostanie uznany za zgodny funkcjonalnie, jeśli:</w:t>
      </w:r>
    </w:p>
    <w:p>
      <w:pPr>
        <w:pStyle w:val="Normal"/>
        <w:numPr>
          <w:ilvl w:val="0"/>
          <w:numId w:val="62"/>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62"/>
        </w:numPr>
        <w:tabs>
          <w:tab w:val="clear" w:pos="708"/>
          <w:tab w:val="left" w:pos="993" w:leader="none"/>
        </w:tabs>
        <w:spacing w:lineRule="auto" w:line="259" w:before="0" w:after="160"/>
        <w:jc w:val="both"/>
        <w:rPr/>
      </w:pPr>
      <w:r>
        <w:rPr/>
        <w:t>Zawiera w pełni działające mechanizmy filtrowania danych pacjentów według rodzajów zabiegów, przypisanego personelu oraz innych zdefiniowanych parametrów.</w:t>
      </w:r>
    </w:p>
    <w:p>
      <w:pPr>
        <w:pStyle w:val="Normal"/>
        <w:numPr>
          <w:ilvl w:val="0"/>
          <w:numId w:val="62"/>
        </w:numPr>
        <w:tabs>
          <w:tab w:val="clear" w:pos="708"/>
          <w:tab w:val="left" w:pos="993" w:leader="none"/>
        </w:tabs>
        <w:spacing w:lineRule="auto" w:line="259" w:before="0" w:after="160"/>
        <w:jc w:val="both"/>
        <w:rPr/>
      </w:pPr>
      <w:r>
        <w:rPr/>
        <w:t>Udostępnia funkcję przypisywania pacjentów do personelu.</w:t>
      </w:r>
    </w:p>
    <w:p>
      <w:pPr>
        <w:pStyle w:val="Normal"/>
        <w:numPr>
          <w:ilvl w:val="0"/>
          <w:numId w:val="62"/>
        </w:numPr>
        <w:tabs>
          <w:tab w:val="clear" w:pos="708"/>
          <w:tab w:val="left" w:pos="993" w:leader="none"/>
        </w:tabs>
        <w:spacing w:lineRule="auto" w:line="259" w:before="0" w:after="160"/>
        <w:jc w:val="both"/>
        <w:rPr/>
      </w:pPr>
      <w:r>
        <w:rPr/>
        <w:t>Zapewnia pełną integrację z systemem HIS w dostępnym w ramach pulpitu zakresie, na poziomie odczytu oraz zapisu następujących danych: dane osobowe, historia leczenia, wyniki badań oraz informacje o szczepieniach.</w:t>
      </w:r>
    </w:p>
    <w:p>
      <w:pPr>
        <w:pStyle w:val="Normal"/>
        <w:numPr>
          <w:ilvl w:val="0"/>
          <w:numId w:val="62"/>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62"/>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62"/>
        </w:numPr>
        <w:tabs>
          <w:tab w:val="clear" w:pos="708"/>
          <w:tab w:val="left" w:pos="993" w:leader="none"/>
        </w:tabs>
        <w:spacing w:lineRule="auto" w:line="259" w:before="0" w:after="160"/>
        <w:jc w:val="both"/>
        <w:rPr/>
      </w:pPr>
      <w:r>
        <w:rPr/>
        <w:t xml:space="preserve">Wspiera prezentację bilansu płynów oraz danych z urządzeń zewnętrznych. </w:t>
      </w:r>
    </w:p>
    <w:p>
      <w:pPr>
        <w:pStyle w:val="ListParagraph"/>
        <w:pBdr>
          <w:bottom w:val="single" w:sz="12" w:space="1" w:color="000000"/>
        </w:pBdr>
        <w:spacing w:lineRule="auto" w:line="240"/>
        <w:ind w:left="0"/>
        <w:jc w:val="both"/>
        <w:rPr>
          <w:b/>
          <w:bCs/>
          <w:sz w:val="28"/>
          <w:szCs w:val="24"/>
        </w:rPr>
      </w:pPr>
      <w:r>
        <w:rPr>
          <w:b/>
          <w:bCs/>
          <w:sz w:val="28"/>
          <w:szCs w:val="24"/>
        </w:rPr>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rPr>
          <w:b/>
          <w:bCs/>
        </w:rPr>
      </w:pPr>
      <w:r>
        <w:rPr>
          <w:b/>
          <w:bCs/>
        </w:rPr>
        <w:t>Warunki startowe (minimalna wersja AMMS)</w:t>
      </w:r>
    </w:p>
    <w:p>
      <w:pPr>
        <w:pStyle w:val="Normal"/>
        <w:numPr>
          <w:ilvl w:val="1"/>
          <w:numId w:val="61"/>
        </w:numPr>
        <w:tabs>
          <w:tab w:val="clear" w:pos="708"/>
          <w:tab w:val="left" w:pos="993" w:leader="none"/>
        </w:tabs>
        <w:spacing w:lineRule="auto" w:line="240" w:before="0" w:after="0"/>
        <w:ind w:hanging="360" w:left="1440"/>
        <w:rPr/>
      </w:pPr>
      <w:r>
        <w:rPr/>
        <w:t xml:space="preserve">Licencja: </w:t>
      </w:r>
    </w:p>
    <w:p>
      <w:pPr>
        <w:pStyle w:val="ListParagraph"/>
        <w:numPr>
          <w:ilvl w:val="2"/>
          <w:numId w:val="76"/>
        </w:numPr>
        <w:tabs>
          <w:tab w:val="clear" w:pos="708"/>
          <w:tab w:val="left" w:pos="993" w:leader="none"/>
        </w:tabs>
        <w:spacing w:lineRule="auto" w:line="240" w:before="0" w:after="0"/>
        <w:contextualSpacing/>
        <w:rPr/>
      </w:pPr>
      <w:r>
        <w:rPr/>
        <w:t>Moduł: AMPD_PM:</w:t>
      </w:r>
    </w:p>
    <w:p>
      <w:pPr>
        <w:pStyle w:val="Normal"/>
        <w:numPr>
          <w:ilvl w:val="3"/>
          <w:numId w:val="61"/>
        </w:numPr>
        <w:tabs>
          <w:tab w:val="clear" w:pos="708"/>
          <w:tab w:val="left" w:pos="993" w:leader="none"/>
        </w:tabs>
        <w:spacing w:lineRule="auto" w:line="240" w:before="0" w:after="0"/>
        <w:rPr/>
      </w:pPr>
      <w:r>
        <w:rPr/>
        <w:t>Funkcjonalność: OBCHOD_LEKARSKI_2023.</w:t>
      </w:r>
    </w:p>
    <w:p>
      <w:pPr>
        <w:pStyle w:val="ListParagraph"/>
        <w:numPr>
          <w:ilvl w:val="2"/>
          <w:numId w:val="77"/>
        </w:numPr>
        <w:tabs>
          <w:tab w:val="clear" w:pos="708"/>
          <w:tab w:val="left" w:pos="993" w:leader="none"/>
        </w:tabs>
        <w:spacing w:lineRule="auto" w:line="240" w:before="0" w:after="0"/>
        <w:contextualSpacing/>
        <w:rPr/>
      </w:pPr>
      <w:r>
        <w:rPr/>
        <w:t>Moduł: AMPD_PM_ANESTEZJOLOG_2024.</w:t>
      </w:r>
    </w:p>
    <w:p>
      <w:pPr>
        <w:pStyle w:val="Normal"/>
        <w:numPr>
          <w:ilvl w:val="1"/>
          <w:numId w:val="61"/>
        </w:numPr>
        <w:tabs>
          <w:tab w:val="clear" w:pos="708"/>
          <w:tab w:val="left" w:pos="993" w:leader="none"/>
        </w:tabs>
        <w:spacing w:lineRule="auto" w:line="240" w:before="0" w:after="0"/>
        <w:ind w:hanging="360" w:left="1440"/>
        <w:rPr/>
      </w:pPr>
      <w:r>
        <w:rPr/>
        <w:t>Wdrożony i prawidłowo skonfigurowany: Blok Operacyjny</w:t>
      </w:r>
      <w:r>
        <w:rPr>
          <w:rFonts w:eastAsia="" w:eastAsiaTheme="minorEastAsia"/>
        </w:rPr>
        <w:t xml:space="preserve"> AMMS.</w:t>
      </w:r>
    </w:p>
    <w:p>
      <w:pPr>
        <w:pStyle w:val="Normal"/>
        <w:numPr>
          <w:ilvl w:val="0"/>
          <w:numId w:val="61"/>
        </w:numPr>
        <w:tabs>
          <w:tab w:val="clear" w:pos="708"/>
          <w:tab w:val="left" w:pos="993" w:leader="none"/>
        </w:tabs>
        <w:spacing w:lineRule="auto" w:line="259" w:before="0" w:after="160"/>
        <w:rPr>
          <w:b/>
          <w:bCs/>
        </w:rPr>
      </w:pPr>
      <w:r>
        <w:rPr>
          <w:b/>
          <w:bCs/>
        </w:rPr>
        <w:t>Wymagania techniczne:</w:t>
      </w:r>
    </w:p>
    <w:p>
      <w:pPr>
        <w:pStyle w:val="ListParagraph"/>
        <w:numPr>
          <w:ilvl w:val="1"/>
          <w:numId w:val="6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74"/>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6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 xml:space="preserve">Tablet: </w:t>
      </w:r>
    </w:p>
    <w:p>
      <w:pPr>
        <w:pStyle w:val="ListParagraph"/>
        <w:numPr>
          <w:ilvl w:val="2"/>
          <w:numId w:val="7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7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7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7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tabs>
          <w:tab w:val="clear" w:pos="708"/>
          <w:tab w:val="left" w:pos="993" w:leader="none"/>
        </w:tabs>
        <w:ind w:left="360"/>
        <w:rPr>
          <w:b/>
          <w:bCs/>
        </w:rPr>
      </w:pPr>
      <w:r>
        <w:rPr>
          <w:b/>
          <w:bCs/>
        </w:rPr>
      </w:r>
    </w:p>
    <w:p>
      <w:pPr>
        <w:pStyle w:val="Normal"/>
        <w:numPr>
          <w:ilvl w:val="0"/>
          <w:numId w:val="61"/>
        </w:numPr>
        <w:tabs>
          <w:tab w:val="clear" w:pos="708"/>
          <w:tab w:val="left" w:pos="993" w:leader="none"/>
        </w:tabs>
        <w:spacing w:lineRule="auto" w:line="259" w:before="0" w:after="160"/>
        <w:rPr>
          <w:b/>
        </w:rPr>
      </w:pPr>
      <w:r>
        <w:rPr>
          <w:b/>
          <w:bCs/>
        </w:rPr>
        <w:t>Wymagania organizacyjne:</w:t>
      </w:r>
    </w:p>
    <w:p>
      <w:pPr>
        <w:pStyle w:val="Normal"/>
        <w:tabs>
          <w:tab w:val="clear" w:pos="708"/>
          <w:tab w:val="left" w:pos="993" w:leader="none"/>
        </w:tabs>
        <w:ind w:left="1440"/>
        <w:rPr>
          <w:b/>
          <w:bCs/>
        </w:rPr>
      </w:pPr>
      <w:r>
        <w:rPr>
          <w:b/>
          <w:bCs/>
        </w:rPr>
        <w:t>Brak.</w:t>
      </w:r>
    </w:p>
    <w:p>
      <w:pPr>
        <w:pStyle w:val="ListParagraph"/>
        <w:pBdr>
          <w:bottom w:val="single" w:sz="12" w:space="1" w:color="000000"/>
        </w:pBdr>
        <w:spacing w:lineRule="auto" w:line="240"/>
        <w:ind w:left="0"/>
        <w:jc w:val="both"/>
        <w:rPr>
          <w:b/>
          <w:bCs/>
          <w:sz w:val="28"/>
          <w:szCs w:val="24"/>
        </w:rPr>
      </w:pPr>
      <w:r>
        <w:rPr>
          <w:b/>
          <w:bCs/>
          <w:sz w:val="28"/>
          <w:szCs w:val="28"/>
        </w:rPr>
        <w:t xml:space="preserve">Opis wdrożenia </w:t>
      </w:r>
    </w:p>
    <w:p>
      <w:pPr>
        <w:pStyle w:val="ListParagraph"/>
        <w:tabs>
          <w:tab w:val="clear" w:pos="708"/>
          <w:tab w:val="left" w:pos="993" w:leader="none"/>
        </w:tabs>
        <w:spacing w:lineRule="auto" w:line="240" w:before="0" w:after="0"/>
        <w:ind w:hanging="357" w:left="72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73"/>
        </w:numPr>
        <w:tabs>
          <w:tab w:val="clear" w:pos="708"/>
          <w:tab w:val="left" w:pos="993" w:leader="none"/>
        </w:tabs>
        <w:spacing w:lineRule="auto" w:line="240" w:before="0" w:after="0"/>
        <w:ind w:hanging="357" w:lef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7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 i Blok operacyjny</w:t>
      </w:r>
    </w:p>
    <w:p>
      <w:pPr>
        <w:pStyle w:val="ListParagraph"/>
        <w:numPr>
          <w:ilvl w:val="0"/>
          <w:numId w:val="7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7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ListParagraph"/>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7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tabs>
          <w:tab w:val="clear" w:pos="708"/>
          <w:tab w:val="left" w:pos="993" w:leader="none"/>
        </w:tabs>
        <w:spacing w:lineRule="auto" w:line="240" w:before="0" w:after="0"/>
        <w:ind w:hanging="357" w:left="720"/>
        <w:contextualSpacing/>
        <w:rPr/>
      </w:pPr>
      <w:r>
        <w:rPr/>
      </w:r>
    </w:p>
    <w:p>
      <w:pPr>
        <w:pStyle w:val="ListParagraph"/>
        <w:numPr>
          <w:ilvl w:val="0"/>
          <w:numId w:val="71"/>
        </w:numPr>
        <w:tabs>
          <w:tab w:val="clear" w:pos="708"/>
          <w:tab w:val="left" w:pos="993" w:leader="none"/>
        </w:tabs>
        <w:spacing w:lineRule="auto" w:line="240" w:before="0" w:after="0"/>
        <w:contextualSpacing/>
        <w:rPr/>
      </w:pPr>
      <w:r>
        <w:rPr/>
        <w:t>Instalacja licencji AMPD_PM</w:t>
      </w:r>
    </w:p>
    <w:p>
      <w:pPr>
        <w:pStyle w:val="ListParagraph"/>
        <w:numPr>
          <w:ilvl w:val="0"/>
          <w:numId w:val="71"/>
        </w:numPr>
        <w:tabs>
          <w:tab w:val="clear" w:pos="708"/>
          <w:tab w:val="left" w:pos="993" w:leader="none"/>
        </w:tabs>
        <w:spacing w:lineRule="auto" w:line="240" w:before="0" w:after="0"/>
        <w:contextualSpacing/>
        <w:rPr/>
      </w:pPr>
      <w:r>
        <w:rPr/>
        <w:t>Szkolenie i konsultacje użytkowników</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4.Karta anestezjologiczna</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personelowi lekarskiemu dostęp do przeglądu karty anestezjologicznej, z możliwością ewidencji zleceń leków.</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personelowi pielęgniarskiemu dostęp do przeglądu karty anestezjologicznej, z możliwością ewidencji pomiarów, podań leków, czynności pielęgniarskich dotyczących pacjenta objętego kartą.</w:t>
      </w:r>
    </w:p>
    <w:p>
      <w:pPr>
        <w:pStyle w:val="ListParagraph"/>
        <w:numPr>
          <w:ilvl w:val="1"/>
          <w:numId w:val="63"/>
        </w:numPr>
        <w:tabs>
          <w:tab w:val="clear" w:pos="708"/>
          <w:tab w:val="left" w:pos="993" w:leader="none"/>
        </w:tabs>
        <w:spacing w:lineRule="auto" w:line="259" w:before="0" w:after="160"/>
        <w:contextualSpacing/>
        <w:jc w:val="both"/>
        <w:rPr/>
      </w:pPr>
      <w:r>
        <w:rPr/>
        <w:t>Prezentowane przez system dane w zakresie pomiarów, bilansu płynów oraz podań leków powinny być wzajemnie powiązane wspólną osią czasu.</w:t>
      </w:r>
    </w:p>
    <w:p>
      <w:pPr>
        <w:pStyle w:val="ListParagraph"/>
        <w:numPr>
          <w:ilvl w:val="1"/>
          <w:numId w:val="63"/>
        </w:numPr>
        <w:tabs>
          <w:tab w:val="clear" w:pos="708"/>
          <w:tab w:val="left" w:pos="993" w:leader="none"/>
        </w:tabs>
        <w:spacing w:lineRule="auto" w:line="259" w:before="0" w:after="160"/>
        <w:contextualSpacing/>
        <w:jc w:val="both"/>
        <w:rPr/>
      </w:pPr>
      <w:r>
        <w:rPr/>
        <w:t>Dostęp do karty anestezjologicznej powinien być zapewniony zarówno z poziomu głównego systemu dziedzinowego HIS, jak i na dowolnym urządzeniu (minimum laptop i tablet) za pośrednictwem dedykowanego rozwiązania typu "pulpit".</w:t>
      </w:r>
    </w:p>
    <w:p>
      <w:pPr>
        <w:pStyle w:val="ListParagraph"/>
        <w:numPr>
          <w:ilvl w:val="1"/>
          <w:numId w:val="63"/>
        </w:numPr>
        <w:tabs>
          <w:tab w:val="clear" w:pos="708"/>
          <w:tab w:val="left" w:pos="993" w:leader="none"/>
        </w:tabs>
        <w:spacing w:lineRule="auto" w:line="259" w:before="0" w:after="160"/>
        <w:contextualSpacing/>
        <w:jc w:val="both"/>
        <w:rPr/>
      </w:pPr>
      <w:r>
        <w:rPr/>
        <w:t>System musi zapewniać automatyczną synchronizację i aktualizację karty anestezjologicznej prezentowanej w obu modułach, aby personel, niezależnie od roli, miał dostęp do kompletnych i aktualnych danych w sposób analogiczny do formy papierowej.</w:t>
      </w:r>
    </w:p>
    <w:p>
      <w:pPr>
        <w:pStyle w:val="ListParagraph"/>
        <w:numPr>
          <w:ilvl w:val="1"/>
          <w:numId w:val="63"/>
        </w:numPr>
        <w:tabs>
          <w:tab w:val="clear" w:pos="708"/>
          <w:tab w:val="left" w:pos="993" w:leader="none"/>
        </w:tabs>
        <w:spacing w:lineRule="auto" w:line="259" w:before="0" w:after="160"/>
        <w:contextualSpacing/>
        <w:jc w:val="both"/>
        <w:rPr/>
      </w:pPr>
      <w:r>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pPr>
        <w:pStyle w:val="ListParagraph"/>
        <w:numPr>
          <w:ilvl w:val="1"/>
          <w:numId w:val="63"/>
        </w:numPr>
        <w:tabs>
          <w:tab w:val="clear" w:pos="708"/>
          <w:tab w:val="left" w:pos="993" w:leader="none"/>
        </w:tabs>
        <w:spacing w:lineRule="auto" w:line="259" w:before="0" w:after="160"/>
        <w:contextualSpacing/>
        <w:jc w:val="both"/>
        <w:rPr/>
      </w:pPr>
      <w:r>
        <w:rPr/>
        <w:t>System musi umożliwiać alternatywną ewidencję w postaci "luźnego tekstu", jeżeli użytkownik chce zamieścić informację w ramach karty, jednak nie realizować pełnej ewidencji.</w:t>
      </w:r>
    </w:p>
    <w:p>
      <w:pPr>
        <w:pStyle w:val="Normal"/>
        <w:numPr>
          <w:ilvl w:val="0"/>
          <w:numId w:val="59"/>
        </w:numPr>
        <w:tabs>
          <w:tab w:val="clear" w:pos="708"/>
          <w:tab w:val="left" w:pos="993" w:leader="none"/>
        </w:tabs>
        <w:spacing w:lineRule="auto" w:line="259" w:before="0" w:after="160"/>
        <w:rPr/>
      </w:pPr>
      <w:r>
        <w:rPr>
          <w:b/>
          <w:bCs/>
        </w:rPr>
        <w:t>Wewnętrzne integracje:</w:t>
      </w:r>
    </w:p>
    <w:p>
      <w:pPr>
        <w:pStyle w:val="ListParagraph"/>
        <w:numPr>
          <w:ilvl w:val="1"/>
          <w:numId w:val="59"/>
        </w:numPr>
        <w:tabs>
          <w:tab w:val="clear" w:pos="708"/>
          <w:tab w:val="left" w:pos="993" w:leader="none"/>
        </w:tabs>
        <w:spacing w:lineRule="auto" w:line="259" w:before="0" w:after="160"/>
        <w:contextualSpacing/>
        <w:jc w:val="both"/>
        <w:rPr/>
      </w:pPr>
      <w:r>
        <w:rPr/>
        <w:t>Dostęp do karty anestezjologicznej powinien być zapewniony zarówno z poziomu głównego systemu dziedzinowego HIS, jak i na dowolnym urządzeniu (minimum laptop i tablet) za pośrednictwem dedykowanego rozwiązania typu "pulpit".</w:t>
      </w:r>
    </w:p>
    <w:p>
      <w:pPr>
        <w:pStyle w:val="ListParagraph"/>
        <w:numPr>
          <w:ilvl w:val="1"/>
          <w:numId w:val="59"/>
        </w:numPr>
        <w:tabs>
          <w:tab w:val="clear" w:pos="708"/>
          <w:tab w:val="left" w:pos="993" w:leader="none"/>
        </w:tabs>
        <w:spacing w:lineRule="auto" w:line="259" w:before="0" w:after="160"/>
        <w:contextualSpacing/>
        <w:jc w:val="both"/>
        <w:rPr/>
      </w:pPr>
      <w:r>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pPr>
        <w:pStyle w:val="Normal"/>
        <w:numPr>
          <w:ilvl w:val="1"/>
          <w:numId w:val="59"/>
        </w:numPr>
        <w:tabs>
          <w:tab w:val="clear" w:pos="708"/>
          <w:tab w:val="left" w:pos="993" w:leader="none"/>
        </w:tabs>
        <w:spacing w:lineRule="auto" w:line="259" w:before="0" w:after="160"/>
        <w:jc w:val="both"/>
        <w:rPr/>
      </w:pPr>
      <w:r>
        <w:rPr/>
        <w:t>Karta prezentuje dane zgromadzone w systemie HIS, bez konieczności jego uruchamiania oraz przełączania modułów tego systemu.</w:t>
      </w:r>
    </w:p>
    <w:p>
      <w:pPr>
        <w:pStyle w:val="Normal"/>
        <w:numPr>
          <w:ilvl w:val="1"/>
          <w:numId w:val="59"/>
        </w:numPr>
        <w:tabs>
          <w:tab w:val="clear" w:pos="708"/>
          <w:tab w:val="left" w:pos="993" w:leader="none"/>
        </w:tabs>
        <w:spacing w:lineRule="auto" w:line="259" w:before="0" w:after="160"/>
        <w:jc w:val="both"/>
        <w:rPr/>
      </w:pPr>
      <w:r>
        <w:rPr/>
        <w:t>Moduł posiada wspólną bazę użytkowników z systemem HIS.</w:t>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Normal"/>
        <w:numPr>
          <w:ilvl w:val="1"/>
          <w:numId w:val="59"/>
        </w:numPr>
        <w:tabs>
          <w:tab w:val="clear" w:pos="708"/>
          <w:tab w:val="left" w:pos="993" w:leader="none"/>
        </w:tabs>
        <w:spacing w:lineRule="auto" w:line="259" w:before="0" w:after="160"/>
        <w:jc w:val="both"/>
        <w:rPr/>
      </w:pPr>
      <w:r>
        <w:rPr/>
        <w:t xml:space="preserve">Pierwsze uruchomienie produktu poprzedzone powinno być konfiguracją systemu HIS minimum w zakresie parametrów opisanych w instrukcji użytkownika dla modułu Pulpity Medyczne. </w:t>
      </w:r>
    </w:p>
    <w:p>
      <w:pPr>
        <w:pStyle w:val="Normal"/>
        <w:numPr>
          <w:ilvl w:val="1"/>
          <w:numId w:val="59"/>
        </w:numPr>
        <w:tabs>
          <w:tab w:val="clear" w:pos="708"/>
          <w:tab w:val="left" w:pos="993" w:leader="none"/>
        </w:tabs>
        <w:spacing w:lineRule="auto" w:line="259" w:before="0" w:after="160"/>
        <w:rPr/>
      </w:pPr>
      <w:r>
        <w:rPr/>
        <w:t>Moduł korzysta z wspólnej bazy danych z systemem HIS.</w:t>
      </w:r>
    </w:p>
    <w:p>
      <w:pPr>
        <w:pStyle w:val="Normal"/>
        <w:tabs>
          <w:tab w:val="clear" w:pos="708"/>
          <w:tab w:val="left" w:pos="993" w:leader="none"/>
        </w:tabs>
        <w:rPr/>
      </w:pPr>
      <w:r>
        <w:rPr/>
      </w:r>
    </w:p>
    <w:p>
      <w:pPr>
        <w:pStyle w:val="ListParagraph"/>
        <w:pBdr>
          <w:bottom w:val="single" w:sz="12" w:space="1" w:color="000000"/>
        </w:pBdr>
        <w:spacing w:lineRule="auto" w:line="240"/>
        <w:ind w:left="0"/>
        <w:jc w:val="both"/>
        <w:rPr>
          <w:b/>
          <w:bCs/>
          <w:sz w:val="28"/>
          <w:szCs w:val="24"/>
        </w:rPr>
      </w:pPr>
      <w:r>
        <w:rPr>
          <w:b/>
          <w:bCs/>
          <w:sz w:val="28"/>
          <w:szCs w:val="28"/>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left="720"/>
        <w:jc w:val="both"/>
        <w:rPr/>
      </w:pPr>
      <w:r>
        <w:rPr/>
        <w:t>Produkt zostanie uznany za zgodny funkcjonalnie, jeśli:</w:t>
      </w:r>
    </w:p>
    <w:p>
      <w:pPr>
        <w:pStyle w:val="Normal"/>
        <w:numPr>
          <w:ilvl w:val="0"/>
          <w:numId w:val="62"/>
        </w:numPr>
        <w:tabs>
          <w:tab w:val="clear" w:pos="708"/>
          <w:tab w:val="left" w:pos="993" w:leader="none"/>
        </w:tabs>
        <w:spacing w:lineRule="auto" w:line="259" w:before="0" w:after="160"/>
        <w:jc w:val="both"/>
        <w:rPr/>
      </w:pPr>
      <w:r>
        <w:rPr/>
        <w:t>Umożliwia przegląd wyników badań, pomiarów oraz podań leków powiązanych wspólną osią czasu.</w:t>
      </w:r>
    </w:p>
    <w:p>
      <w:pPr>
        <w:pStyle w:val="Normal"/>
        <w:numPr>
          <w:ilvl w:val="0"/>
          <w:numId w:val="62"/>
        </w:numPr>
        <w:tabs>
          <w:tab w:val="clear" w:pos="708"/>
          <w:tab w:val="left" w:pos="993" w:leader="none"/>
        </w:tabs>
        <w:spacing w:lineRule="auto" w:line="259" w:before="0" w:after="160"/>
        <w:jc w:val="both"/>
        <w:rPr/>
      </w:pPr>
      <w:r>
        <w:rPr/>
        <w:t>Umożliwia ewidencję dla roli pielęgniarki: pomiaru, podania leku, diagnoz i procedur pielęgniarskich, wywiadu pielęgniarskiego, „luźnego tekstu”.</w:t>
      </w:r>
    </w:p>
    <w:p>
      <w:pPr>
        <w:pStyle w:val="Normal"/>
        <w:numPr>
          <w:ilvl w:val="0"/>
          <w:numId w:val="62"/>
        </w:numPr>
        <w:tabs>
          <w:tab w:val="clear" w:pos="708"/>
          <w:tab w:val="left" w:pos="993" w:leader="none"/>
        </w:tabs>
        <w:spacing w:lineRule="auto" w:line="259" w:before="0" w:after="160"/>
        <w:jc w:val="both"/>
        <w:rPr/>
      </w:pPr>
      <w:r>
        <w:rPr/>
        <w:t>Umożliwia ewidencję dla roli anestezjolog/lekarz: zlecenia leku, luźnego tekstu.</w:t>
      </w:r>
    </w:p>
    <w:p>
      <w:pPr>
        <w:pStyle w:val="Normal"/>
        <w:numPr>
          <w:ilvl w:val="0"/>
          <w:numId w:val="62"/>
        </w:numPr>
        <w:tabs>
          <w:tab w:val="clear" w:pos="708"/>
          <w:tab w:val="left" w:pos="993" w:leader="none"/>
        </w:tabs>
        <w:spacing w:lineRule="auto" w:line="259" w:before="0" w:after="160"/>
        <w:jc w:val="both"/>
        <w:rPr/>
      </w:pPr>
      <w:r>
        <w:rPr/>
        <w:t>Zapewnia pełną integrację z systemem HIS w dostępnym w ramach karty zakresie, na poziomie odczytu oraz zapisu danych (wyniki badań, pomiary itp.).</w:t>
      </w:r>
    </w:p>
    <w:p>
      <w:pPr>
        <w:pStyle w:val="ListParagraph"/>
        <w:numPr>
          <w:ilvl w:val="0"/>
          <w:numId w:val="62"/>
        </w:numPr>
        <w:tabs>
          <w:tab w:val="clear" w:pos="708"/>
          <w:tab w:val="left" w:pos="993" w:leader="none"/>
        </w:tabs>
        <w:spacing w:lineRule="auto" w:line="259" w:before="0" w:after="160"/>
        <w:contextualSpacing/>
        <w:jc w:val="both"/>
        <w:rPr/>
      </w:pPr>
      <w:r>
        <w:rPr/>
        <w:t>Możliwe będzie uruchomienie produktu zarówno z poziomu głównego systemu dziedzinowego HIS, jak i na dowolnym urządzeniu (minimum laptop i tablet) za pośrednictwem dedykowanego rozwiązania typu "pulpit".</w:t>
      </w:r>
    </w:p>
    <w:p>
      <w:pPr>
        <w:pStyle w:val="ListParagraph"/>
        <w:numPr>
          <w:ilvl w:val="0"/>
          <w:numId w:val="62"/>
        </w:numPr>
        <w:tabs>
          <w:tab w:val="clear" w:pos="708"/>
          <w:tab w:val="left" w:pos="993" w:leader="none"/>
        </w:tabs>
        <w:spacing w:lineRule="auto" w:line="259" w:before="0" w:after="160"/>
        <w:contextualSpacing/>
        <w:jc w:val="both"/>
        <w:rPr/>
      </w:pPr>
      <w:r>
        <w:rPr/>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jc w:val="both"/>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jc w:val="both"/>
        <w:rPr>
          <w:b/>
          <w:bCs/>
        </w:rPr>
      </w:pPr>
      <w:r>
        <w:rPr>
          <w:b/>
          <w:bCs/>
        </w:rPr>
        <w:t>Warunki startowe (minimalna wersja AMMS)</w:t>
      </w:r>
    </w:p>
    <w:p>
      <w:pPr>
        <w:pStyle w:val="Normal"/>
        <w:numPr>
          <w:ilvl w:val="1"/>
          <w:numId w:val="61"/>
        </w:numPr>
        <w:tabs>
          <w:tab w:val="clear" w:pos="708"/>
          <w:tab w:val="left" w:pos="993" w:leader="none"/>
        </w:tabs>
        <w:spacing w:lineRule="auto" w:line="240" w:before="0" w:after="0"/>
        <w:ind w:hanging="360" w:left="1440"/>
        <w:jc w:val="both"/>
        <w:rPr/>
      </w:pPr>
      <w:r>
        <w:rPr/>
        <w:t xml:space="preserve">Licencja: </w:t>
      </w:r>
    </w:p>
    <w:p>
      <w:pPr>
        <w:pStyle w:val="Normal"/>
        <w:numPr>
          <w:ilvl w:val="2"/>
          <w:numId w:val="61"/>
        </w:numPr>
        <w:tabs>
          <w:tab w:val="clear" w:pos="708"/>
          <w:tab w:val="left" w:pos="993" w:leader="none"/>
        </w:tabs>
        <w:spacing w:lineRule="auto" w:line="240" w:before="0" w:after="0"/>
        <w:ind w:hanging="360" w:left="2160"/>
        <w:jc w:val="both"/>
        <w:rPr/>
      </w:pPr>
      <w:r>
        <w:rPr/>
        <w:t>Moduł: AMPD_PM:</w:t>
      </w:r>
    </w:p>
    <w:p>
      <w:pPr>
        <w:pStyle w:val="Normal"/>
        <w:numPr>
          <w:ilvl w:val="3"/>
          <w:numId w:val="61"/>
        </w:numPr>
        <w:tabs>
          <w:tab w:val="clear" w:pos="708"/>
          <w:tab w:val="left" w:pos="993" w:leader="none"/>
        </w:tabs>
        <w:spacing w:lineRule="auto" w:line="240" w:before="0" w:after="0"/>
        <w:jc w:val="both"/>
        <w:rPr/>
      </w:pPr>
      <w:r>
        <w:rPr/>
        <w:t>Funkcjonalność: AMPD_KARTA_ANESTEZJOLOGICZNA,</w:t>
      </w:r>
    </w:p>
    <w:p>
      <w:pPr>
        <w:pStyle w:val="Normal"/>
        <w:numPr>
          <w:ilvl w:val="1"/>
          <w:numId w:val="61"/>
        </w:numPr>
        <w:tabs>
          <w:tab w:val="clear" w:pos="708"/>
          <w:tab w:val="left" w:pos="993" w:leader="none"/>
        </w:tabs>
        <w:spacing w:lineRule="auto" w:line="240" w:before="0" w:after="0"/>
        <w:ind w:hanging="360" w:left="1440"/>
        <w:jc w:val="both"/>
        <w:rPr/>
      </w:pPr>
      <w:r>
        <w:rPr/>
        <w:t xml:space="preserve">Wdrożony i prawidłowo skonfigurowany: Ruch Chorych </w:t>
      </w:r>
      <w:r>
        <w:rPr>
          <w:rFonts w:eastAsia="" w:eastAsiaTheme="minorEastAsia"/>
        </w:rPr>
        <w:t>AMMS.</w:t>
      </w:r>
    </w:p>
    <w:p>
      <w:pPr>
        <w:pStyle w:val="Normal"/>
        <w:numPr>
          <w:ilvl w:val="0"/>
          <w:numId w:val="61"/>
        </w:numPr>
        <w:tabs>
          <w:tab w:val="clear" w:pos="708"/>
          <w:tab w:val="left" w:pos="993" w:leader="none"/>
        </w:tabs>
        <w:spacing w:lineRule="auto" w:line="259" w:before="0" w:after="160"/>
        <w:jc w:val="both"/>
        <w:rPr>
          <w:b/>
          <w:bCs/>
        </w:rPr>
      </w:pPr>
      <w:r>
        <w:rPr>
          <w:b/>
          <w:bCs/>
        </w:rPr>
        <w:t>Wymagania techniczne:</w:t>
      </w:r>
    </w:p>
    <w:p>
      <w:pPr>
        <w:pStyle w:val="ListParagraph"/>
        <w:numPr>
          <w:ilvl w:val="1"/>
          <w:numId w:val="6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6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 xml:space="preserve">Tablet: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61"/>
        </w:numPr>
        <w:tabs>
          <w:tab w:val="clear" w:pos="708"/>
          <w:tab w:val="left" w:pos="993" w:leader="none"/>
        </w:tabs>
        <w:spacing w:lineRule="auto" w:line="240" w:before="0" w:after="0"/>
        <w:ind w:hanging="360" w:left="2160"/>
        <w:contextualSpacing/>
        <w:jc w:val="both"/>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numPr>
          <w:ilvl w:val="0"/>
          <w:numId w:val="61"/>
        </w:numPr>
        <w:tabs>
          <w:tab w:val="clear" w:pos="708"/>
          <w:tab w:val="left" w:pos="993" w:leader="none"/>
        </w:tabs>
        <w:spacing w:lineRule="auto" w:line="259" w:before="0" w:after="160"/>
        <w:rPr/>
      </w:pPr>
      <w:r>
        <w:rPr>
          <w:b/>
          <w:bCs/>
        </w:rPr>
        <w:t>Wymagania organizacyjne:</w:t>
      </w:r>
    </w:p>
    <w:p>
      <w:pPr>
        <w:pStyle w:val="Normal"/>
        <w:numPr>
          <w:ilvl w:val="1"/>
          <w:numId w:val="60"/>
        </w:numPr>
        <w:tabs>
          <w:tab w:val="clear" w:pos="708"/>
          <w:tab w:val="left" w:pos="993" w:leader="none"/>
        </w:tabs>
        <w:spacing w:lineRule="auto" w:line="240" w:before="0" w:after="0"/>
        <w:ind w:hanging="357" w:left="1440"/>
        <w:rPr/>
      </w:pPr>
      <w:r>
        <w:rPr/>
        <w:t>Brak.</w:t>
      </w:r>
    </w:p>
    <w:p>
      <w:pPr>
        <w:pStyle w:val="Normal"/>
        <w:tabs>
          <w:tab w:val="clear" w:pos="708"/>
          <w:tab w:val="left" w:pos="993" w:leader="none"/>
        </w:tabs>
        <w:rPr/>
      </w:pPr>
      <w:r>
        <w:rPr/>
      </w:r>
    </w:p>
    <w:p>
      <w:pPr>
        <w:pStyle w:val="ListParagraph"/>
        <w:pBdr>
          <w:bottom w:val="single" w:sz="12" w:space="1" w:color="000000"/>
        </w:pBdr>
        <w:spacing w:lineRule="auto" w:line="240"/>
        <w:ind w:left="0"/>
        <w:jc w:val="both"/>
        <w:rPr>
          <w:b/>
          <w:bCs/>
          <w:sz w:val="28"/>
          <w:szCs w:val="24"/>
        </w:rPr>
      </w:pPr>
      <w:r>
        <w:rPr>
          <w:b/>
          <w:bCs/>
          <w:sz w:val="28"/>
          <w:szCs w:val="28"/>
        </w:rPr>
        <w:t xml:space="preserve">Opis wdrożenia </w:t>
      </w:r>
    </w:p>
    <w:p>
      <w:pPr>
        <w:pStyle w:val="ListParagraph"/>
        <w:tabs>
          <w:tab w:val="clear" w:pos="708"/>
          <w:tab w:val="left" w:pos="993" w:leader="none"/>
        </w:tabs>
        <w:spacing w:lineRule="auto" w:line="240" w:before="0" w:after="0"/>
        <w:ind w:hanging="357" w:left="720"/>
        <w:contextualSpacing/>
        <w:jc w:val="both"/>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jc w:val="both"/>
        <w:rPr/>
      </w:pPr>
      <w:r>
        <w:rPr/>
        <w:t>Opis tego, co musi zostać uruchomione i skonfigurowane w ramach wdrożenia:</w:t>
      </w:r>
    </w:p>
    <w:p>
      <w:pPr>
        <w:pStyle w:val="Normal"/>
        <w:numPr>
          <w:ilvl w:val="0"/>
          <w:numId w:val="60"/>
        </w:numPr>
        <w:tabs>
          <w:tab w:val="clear" w:pos="708"/>
          <w:tab w:val="left" w:pos="993" w:leader="none"/>
        </w:tabs>
        <w:spacing w:lineRule="auto" w:line="240" w:before="0" w:after="0"/>
        <w:ind w:hanging="357" w:left="720"/>
        <w:jc w:val="both"/>
        <w:rPr/>
      </w:pPr>
      <w:r>
        <w:rPr>
          <w:b/>
          <w:bCs/>
        </w:rPr>
        <w:t>Elementy do uruchomienia:</w:t>
      </w:r>
    </w:p>
    <w:p>
      <w:pPr>
        <w:pStyle w:val="Normal"/>
        <w:numPr>
          <w:ilvl w:val="1"/>
          <w:numId w:val="60"/>
        </w:numPr>
        <w:tabs>
          <w:tab w:val="clear" w:pos="708"/>
          <w:tab w:val="left" w:pos="993" w:leader="none"/>
        </w:tabs>
        <w:spacing w:lineRule="auto" w:line="240" w:before="0" w:after="0"/>
        <w:ind w:hanging="357" w:left="1440"/>
        <w:jc w:val="both"/>
        <w:rPr/>
      </w:pPr>
      <w:r>
        <w:rPr/>
        <w:t>AMMS i/lub AMPD.</w:t>
      </w:r>
    </w:p>
    <w:p>
      <w:pPr>
        <w:pStyle w:val="Normal"/>
        <w:numPr>
          <w:ilvl w:val="0"/>
          <w:numId w:val="60"/>
        </w:numPr>
        <w:tabs>
          <w:tab w:val="clear" w:pos="708"/>
          <w:tab w:val="left" w:pos="993" w:leader="none"/>
        </w:tabs>
        <w:spacing w:lineRule="auto" w:line="240" w:before="0" w:after="0"/>
        <w:ind w:hanging="357" w:left="720"/>
        <w:jc w:val="both"/>
        <w:rPr/>
      </w:pPr>
      <w:r>
        <w:rPr>
          <w:b/>
          <w:bCs/>
        </w:rPr>
        <w:t>Parametryzacja środowiska:</w:t>
      </w:r>
    </w:p>
    <w:p>
      <w:pPr>
        <w:pStyle w:val="Normal"/>
        <w:numPr>
          <w:ilvl w:val="1"/>
          <w:numId w:val="60"/>
        </w:numPr>
        <w:tabs>
          <w:tab w:val="clear" w:pos="708"/>
          <w:tab w:val="left" w:pos="993" w:leader="none"/>
        </w:tabs>
        <w:spacing w:lineRule="auto" w:line="240" w:before="0" w:after="0"/>
        <w:ind w:hanging="357" w:left="1440"/>
        <w:jc w:val="both"/>
        <w:rPr/>
      </w:pPr>
      <w:r>
        <w:rPr/>
        <w:t>Wgranie licencji: AMPD_KARTA_ANESTEZJOLOGICZNA,</w:t>
      </w:r>
    </w:p>
    <w:p>
      <w:pPr>
        <w:pStyle w:val="Normal"/>
        <w:numPr>
          <w:ilvl w:val="1"/>
          <w:numId w:val="60"/>
        </w:numPr>
        <w:tabs>
          <w:tab w:val="clear" w:pos="708"/>
          <w:tab w:val="left" w:pos="993" w:leader="none"/>
        </w:tabs>
        <w:spacing w:lineRule="auto" w:line="240" w:before="0" w:after="0"/>
        <w:ind w:hanging="357" w:left="1440"/>
        <w:jc w:val="both"/>
        <w:rPr/>
      </w:pPr>
      <w:r>
        <w:rPr/>
        <w:t>Konfiguracja w ramach systemu AMMS (m.in. elementów leczenia BL%, parametry dla pomiarów),</w:t>
      </w:r>
    </w:p>
    <w:p>
      <w:pPr>
        <w:pStyle w:val="Normal"/>
        <w:numPr>
          <w:ilvl w:val="1"/>
          <w:numId w:val="60"/>
        </w:numPr>
        <w:tabs>
          <w:tab w:val="clear" w:pos="708"/>
          <w:tab w:val="left" w:pos="993" w:leader="none"/>
        </w:tabs>
        <w:spacing w:lineRule="auto" w:line="240" w:before="0" w:after="0"/>
        <w:ind w:hanging="357" w:left="1440"/>
        <w:jc w:val="both"/>
        <w:rPr/>
      </w:pPr>
      <w:r>
        <w:rPr/>
        <w:t>Nadanie uprawnień dla użytkowników/JOSów.</w:t>
      </w:r>
    </w:p>
    <w:p>
      <w:pPr>
        <w:pStyle w:val="Normal"/>
        <w:numPr>
          <w:ilvl w:val="0"/>
          <w:numId w:val="60"/>
        </w:numPr>
        <w:tabs>
          <w:tab w:val="clear" w:pos="708"/>
          <w:tab w:val="left" w:pos="993" w:leader="none"/>
        </w:tabs>
        <w:spacing w:lineRule="auto" w:line="240" w:before="0" w:after="0"/>
        <w:ind w:hanging="357" w:left="720"/>
        <w:jc w:val="both"/>
        <w:rPr/>
      </w:pPr>
      <w:r>
        <w:rPr>
          <w:b/>
          <w:bCs/>
        </w:rPr>
        <w:t>Kolejność uruchamiania komponentów:</w:t>
      </w:r>
    </w:p>
    <w:p>
      <w:pPr>
        <w:pStyle w:val="Normal"/>
        <w:numPr>
          <w:ilvl w:val="1"/>
          <w:numId w:val="60"/>
        </w:numPr>
        <w:tabs>
          <w:tab w:val="clear" w:pos="708"/>
          <w:tab w:val="left" w:pos="993" w:leader="none"/>
        </w:tabs>
        <w:spacing w:lineRule="auto" w:line="240" w:before="0" w:after="0"/>
        <w:ind w:hanging="357" w:left="1440"/>
        <w:jc w:val="both"/>
        <w:rPr/>
      </w:pPr>
      <w:r>
        <w:rPr/>
        <w:t>Serwer AMMS.</w:t>
      </w:r>
    </w:p>
    <w:p>
      <w:pPr>
        <w:pStyle w:val="Normal"/>
        <w:tabs>
          <w:tab w:val="clear" w:pos="708"/>
          <w:tab w:val="left" w:pos="993" w:leader="none"/>
        </w:tabs>
        <w:spacing w:lineRule="auto" w:line="240" w:before="0" w:after="0"/>
        <w:rPr>
          <w:highlight w:val="yellow"/>
        </w:rPr>
      </w:pPr>
      <w:r>
        <w:rPr>
          <w:highlight w:val="yellow"/>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5.Indywidualny Program Opieki Medycznej oraz Harmonogram Indywidualnego Programu Opieki Medycznej</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rPr>
          <w:b/>
          <w:bCs/>
        </w:rPr>
      </w:pPr>
      <w:r>
        <w:rPr>
          <w:b/>
          <w:bCs/>
        </w:rPr>
        <w:t>Wymagania funkcjonalne</w:t>
      </w:r>
    </w:p>
    <w:p>
      <w:pPr>
        <w:pStyle w:val="ListParagraph"/>
        <w:numPr>
          <w:ilvl w:val="0"/>
          <w:numId w:val="81"/>
        </w:numPr>
        <w:tabs>
          <w:tab w:val="clear" w:pos="708"/>
          <w:tab w:val="left" w:pos="993" w:leader="none"/>
        </w:tabs>
        <w:spacing w:lineRule="auto" w:line="259" w:before="0" w:after="160"/>
        <w:contextualSpacing/>
        <w:jc w:val="both"/>
        <w:rPr/>
      </w:pPr>
      <w:r>
        <w:rPr/>
        <w:t>System musi zapewniać ewidencję danych Indywidualnego Planu Opieki Medycznej (IPOM):</w:t>
      </w:r>
    </w:p>
    <w:p>
      <w:pPr>
        <w:pStyle w:val="ListParagraph"/>
        <w:numPr>
          <w:ilvl w:val="1"/>
          <w:numId w:val="82"/>
        </w:numPr>
        <w:tabs>
          <w:tab w:val="clear" w:pos="708"/>
          <w:tab w:val="left" w:pos="993" w:leader="none"/>
        </w:tabs>
        <w:spacing w:lineRule="auto" w:line="259" w:before="0" w:after="160"/>
        <w:contextualSpacing/>
        <w:jc w:val="both"/>
        <w:rPr/>
      </w:pPr>
      <w:r>
        <w:rPr/>
        <w:t>Automatyczne podpowiadanie chorób przewlekłych wg ICD-10 klasyfikujących do programu Opieka koordynowana w POZ.</w:t>
      </w:r>
    </w:p>
    <w:p>
      <w:pPr>
        <w:pStyle w:val="ListParagraph"/>
        <w:numPr>
          <w:ilvl w:val="1"/>
          <w:numId w:val="82"/>
        </w:numPr>
        <w:tabs>
          <w:tab w:val="clear" w:pos="708"/>
          <w:tab w:val="left" w:pos="993" w:leader="none"/>
        </w:tabs>
        <w:spacing w:lineRule="auto" w:line="259" w:before="0" w:after="160"/>
        <w:contextualSpacing/>
        <w:jc w:val="both"/>
        <w:rPr/>
      </w:pPr>
      <w:r>
        <w:rPr/>
        <w:t>Automatyczne podpowiadanie stale przyjmowanych leków pacjenta.</w:t>
      </w:r>
    </w:p>
    <w:p>
      <w:pPr>
        <w:pStyle w:val="ListParagraph"/>
        <w:numPr>
          <w:ilvl w:val="1"/>
          <w:numId w:val="82"/>
        </w:numPr>
        <w:tabs>
          <w:tab w:val="clear" w:pos="708"/>
          <w:tab w:val="left" w:pos="993" w:leader="none"/>
        </w:tabs>
        <w:spacing w:lineRule="auto" w:line="259" w:before="0" w:after="160"/>
        <w:contextualSpacing/>
        <w:jc w:val="both"/>
        <w:rPr/>
      </w:pPr>
      <w:r>
        <w:rPr/>
        <w:t>Ograniczenie liczby porad dietetycznych oraz porad lekarsko-pielęgniarskich.</w:t>
      </w:r>
    </w:p>
    <w:p>
      <w:pPr>
        <w:pStyle w:val="ListParagraph"/>
        <w:numPr>
          <w:ilvl w:val="1"/>
          <w:numId w:val="82"/>
        </w:numPr>
        <w:tabs>
          <w:tab w:val="clear" w:pos="708"/>
          <w:tab w:val="left" w:pos="993" w:leader="none"/>
        </w:tabs>
        <w:spacing w:lineRule="auto" w:line="259" w:before="0" w:after="160"/>
        <w:contextualSpacing/>
        <w:jc w:val="both"/>
        <w:rPr/>
      </w:pPr>
      <w:r>
        <w:rPr/>
        <w:t>Kopiowanie chorób przewlekłych pacjenta, stale przyjmowanych leków, zaleceń z wizyty, zleconych badań laboratoryjnych i diagnostycznych.</w:t>
      </w:r>
    </w:p>
    <w:p>
      <w:pPr>
        <w:pStyle w:val="ListParagraph"/>
        <w:numPr>
          <w:ilvl w:val="1"/>
          <w:numId w:val="82"/>
        </w:numPr>
        <w:tabs>
          <w:tab w:val="clear" w:pos="708"/>
          <w:tab w:val="left" w:pos="993" w:leader="none"/>
        </w:tabs>
        <w:spacing w:lineRule="auto" w:line="259" w:before="0" w:after="160"/>
        <w:contextualSpacing/>
        <w:jc w:val="both"/>
        <w:rPr/>
      </w:pPr>
      <w:r>
        <w:rPr/>
        <w:t>Weryfikacja procedur medycznych wg ICD-9 w wykazie badań budżetu opieki koordynowanej.</w:t>
      </w:r>
    </w:p>
    <w:p>
      <w:pPr>
        <w:pStyle w:val="ListParagraph"/>
        <w:numPr>
          <w:ilvl w:val="1"/>
          <w:numId w:val="82"/>
        </w:numPr>
        <w:tabs>
          <w:tab w:val="clear" w:pos="708"/>
          <w:tab w:val="left" w:pos="993" w:leader="none"/>
        </w:tabs>
        <w:spacing w:lineRule="auto" w:line="259" w:before="0" w:after="160"/>
        <w:contextualSpacing/>
        <w:jc w:val="both"/>
        <w:rPr/>
      </w:pPr>
      <w:r>
        <w:rPr/>
        <w:t>Autoryzacja danych oraz podpis elektroniczny IPOMu.</w:t>
      </w:r>
    </w:p>
    <w:p>
      <w:pPr>
        <w:pStyle w:val="ListParagraph"/>
        <w:numPr>
          <w:ilvl w:val="1"/>
          <w:numId w:val="82"/>
        </w:numPr>
        <w:tabs>
          <w:tab w:val="clear" w:pos="708"/>
          <w:tab w:val="left" w:pos="993" w:leader="none"/>
        </w:tabs>
        <w:spacing w:lineRule="auto" w:line="259" w:before="0" w:after="160"/>
        <w:contextualSpacing/>
        <w:jc w:val="both"/>
        <w:rPr/>
      </w:pPr>
      <w:r>
        <w:rPr/>
        <w:t>Przekazanie IPOMu do EDM.</w:t>
      </w:r>
    </w:p>
    <w:p>
      <w:pPr>
        <w:pStyle w:val="ListParagraph"/>
        <w:numPr>
          <w:ilvl w:val="1"/>
          <w:numId w:val="82"/>
        </w:numPr>
        <w:tabs>
          <w:tab w:val="clear" w:pos="708"/>
          <w:tab w:val="left" w:pos="993" w:leader="none"/>
        </w:tabs>
        <w:spacing w:lineRule="auto" w:line="259" w:before="0" w:after="160"/>
        <w:contextualSpacing/>
        <w:jc w:val="both"/>
        <w:rPr/>
      </w:pPr>
      <w:r>
        <w:rPr/>
        <w:t>Wydruk informacyjny IPOMu na podstawie transformaty CEZ.</w:t>
      </w:r>
    </w:p>
    <w:p>
      <w:pPr>
        <w:pStyle w:val="ListParagraph"/>
        <w:numPr>
          <w:ilvl w:val="1"/>
          <w:numId w:val="82"/>
        </w:numPr>
        <w:tabs>
          <w:tab w:val="clear" w:pos="708"/>
          <w:tab w:val="left" w:pos="993" w:leader="none"/>
        </w:tabs>
        <w:spacing w:lineRule="auto" w:line="259" w:before="0" w:after="160"/>
        <w:contextualSpacing/>
        <w:jc w:val="both"/>
        <w:rPr/>
      </w:pPr>
      <w:r>
        <w:rPr/>
        <w:t>Dodawanie wielu IPOMów.</w:t>
      </w:r>
    </w:p>
    <w:p>
      <w:pPr>
        <w:pStyle w:val="ListParagraph"/>
        <w:numPr>
          <w:ilvl w:val="0"/>
          <w:numId w:val="82"/>
        </w:numPr>
        <w:tabs>
          <w:tab w:val="clear" w:pos="708"/>
          <w:tab w:val="left" w:pos="993" w:leader="none"/>
        </w:tabs>
        <w:spacing w:lineRule="auto" w:line="259" w:before="0" w:after="160"/>
        <w:contextualSpacing/>
        <w:jc w:val="both"/>
        <w:rPr/>
      </w:pPr>
      <w:r>
        <w:rPr/>
        <w:t>System musi zapewniać ewidencję danych Harmonogramu Indywidualnego Planu Opieki Medycznej (HIPOM):</w:t>
      </w:r>
    </w:p>
    <w:p>
      <w:pPr>
        <w:pStyle w:val="ListParagraph"/>
        <w:numPr>
          <w:ilvl w:val="1"/>
          <w:numId w:val="82"/>
        </w:numPr>
        <w:tabs>
          <w:tab w:val="clear" w:pos="708"/>
          <w:tab w:val="left" w:pos="993" w:leader="none"/>
        </w:tabs>
        <w:spacing w:lineRule="auto" w:line="259" w:before="0" w:after="160"/>
        <w:contextualSpacing/>
        <w:jc w:val="both"/>
        <w:rPr/>
      </w:pPr>
      <w:r>
        <w:rPr/>
        <w:t>Aktualizacja HIPOMu na podstawie zmodyfikowanego IPOMu.</w:t>
      </w:r>
    </w:p>
    <w:p>
      <w:pPr>
        <w:pStyle w:val="ListParagraph"/>
        <w:numPr>
          <w:ilvl w:val="1"/>
          <w:numId w:val="82"/>
        </w:numPr>
        <w:tabs>
          <w:tab w:val="clear" w:pos="708"/>
          <w:tab w:val="left" w:pos="993" w:leader="none"/>
        </w:tabs>
        <w:spacing w:lineRule="auto" w:line="259" w:before="0" w:after="160"/>
        <w:contextualSpacing/>
        <w:jc w:val="both"/>
        <w:rPr/>
      </w:pPr>
      <w:r>
        <w:rPr/>
        <w:t xml:space="preserve">Automatyczna zmiana statusu realizacji oraz daty i godziny planowanego, anulowanego, wykonanego świadczenia na podstawie zlecenia powiązanego z planowaniem </w:t>
        <w:br/>
        <w:t>w Terminarzu.</w:t>
      </w:r>
    </w:p>
    <w:p>
      <w:pPr>
        <w:pStyle w:val="ListParagraph"/>
        <w:numPr>
          <w:ilvl w:val="1"/>
          <w:numId w:val="82"/>
        </w:numPr>
        <w:tabs>
          <w:tab w:val="clear" w:pos="708"/>
          <w:tab w:val="left" w:pos="993" w:leader="none"/>
        </w:tabs>
        <w:spacing w:lineRule="auto" w:line="259" w:before="0" w:after="160"/>
        <w:contextualSpacing/>
        <w:jc w:val="both"/>
        <w:rPr/>
      </w:pPr>
      <w:r>
        <w:rPr/>
        <w:t>Autoryzacja danych i podpis elektroniczny HIPOMu.</w:t>
      </w:r>
    </w:p>
    <w:p>
      <w:pPr>
        <w:pStyle w:val="ListParagraph"/>
        <w:numPr>
          <w:ilvl w:val="1"/>
          <w:numId w:val="82"/>
        </w:numPr>
        <w:tabs>
          <w:tab w:val="clear" w:pos="708"/>
          <w:tab w:val="left" w:pos="993" w:leader="none"/>
        </w:tabs>
        <w:spacing w:lineRule="auto" w:line="259" w:before="0" w:after="160"/>
        <w:contextualSpacing/>
        <w:jc w:val="both"/>
        <w:rPr/>
      </w:pPr>
      <w:r>
        <w:rPr/>
        <w:t>Blokowanie HIPOMu podczas modyfikacji IPOMu.</w:t>
      </w:r>
    </w:p>
    <w:p>
      <w:pPr>
        <w:pStyle w:val="ListParagraph"/>
        <w:numPr>
          <w:ilvl w:val="1"/>
          <w:numId w:val="82"/>
        </w:numPr>
        <w:tabs>
          <w:tab w:val="clear" w:pos="708"/>
          <w:tab w:val="left" w:pos="993" w:leader="none"/>
        </w:tabs>
        <w:spacing w:lineRule="auto" w:line="259" w:before="0" w:after="160"/>
        <w:contextualSpacing/>
        <w:jc w:val="both"/>
        <w:rPr/>
      </w:pPr>
      <w:r>
        <w:rPr/>
        <w:t>Ewidencja notatek wewnętrznych.</w:t>
      </w:r>
    </w:p>
    <w:p>
      <w:pPr>
        <w:pStyle w:val="ListParagraph"/>
        <w:numPr>
          <w:ilvl w:val="1"/>
          <w:numId w:val="82"/>
        </w:numPr>
        <w:tabs>
          <w:tab w:val="clear" w:pos="708"/>
          <w:tab w:val="left" w:pos="993" w:leader="none"/>
        </w:tabs>
        <w:spacing w:lineRule="auto" w:line="259" w:before="0" w:after="160"/>
        <w:contextualSpacing/>
        <w:jc w:val="both"/>
        <w:rPr/>
      </w:pPr>
      <w:r>
        <w:rPr/>
        <w:t>Generowanie świadczeń do zaplanowania na podstawie IPOMu.</w:t>
      </w:r>
    </w:p>
    <w:p>
      <w:pPr>
        <w:pStyle w:val="ListParagraph"/>
        <w:numPr>
          <w:ilvl w:val="1"/>
          <w:numId w:val="82"/>
        </w:numPr>
        <w:tabs>
          <w:tab w:val="clear" w:pos="708"/>
          <w:tab w:val="left" w:pos="993" w:leader="none"/>
        </w:tabs>
        <w:spacing w:lineRule="auto" w:line="259" w:before="0" w:after="160"/>
        <w:contextualSpacing/>
        <w:jc w:val="both"/>
        <w:rPr/>
      </w:pPr>
      <w:r>
        <w:rPr/>
        <w:t xml:space="preserve">Planowanie, anulowanie, przeniesienie terminów świadczeń z IPOMu w powiązaniu </w:t>
        <w:br/>
        <w:t>z Terminarzem.</w:t>
      </w:r>
    </w:p>
    <w:p>
      <w:pPr>
        <w:pStyle w:val="ListParagraph"/>
        <w:numPr>
          <w:ilvl w:val="1"/>
          <w:numId w:val="82"/>
        </w:numPr>
        <w:tabs>
          <w:tab w:val="clear" w:pos="708"/>
          <w:tab w:val="left" w:pos="993" w:leader="none"/>
        </w:tabs>
        <w:spacing w:lineRule="auto" w:line="259" w:before="0" w:after="160"/>
        <w:contextualSpacing/>
        <w:jc w:val="both"/>
        <w:rPr/>
      </w:pPr>
      <w:r>
        <w:rPr/>
        <w:t>Przekazanie HIPOMu do EDM.</w:t>
      </w:r>
    </w:p>
    <w:p>
      <w:pPr>
        <w:pStyle w:val="ListParagraph"/>
        <w:numPr>
          <w:ilvl w:val="1"/>
          <w:numId w:val="82"/>
        </w:numPr>
        <w:tabs>
          <w:tab w:val="clear" w:pos="708"/>
          <w:tab w:val="left" w:pos="993" w:leader="none"/>
        </w:tabs>
        <w:spacing w:lineRule="auto" w:line="259" w:before="0" w:after="160"/>
        <w:contextualSpacing/>
        <w:jc w:val="both"/>
        <w:rPr/>
      </w:pPr>
      <w:r>
        <w:rPr/>
        <w:t>Wydruk informacyjny HIPOMu na podstawie transformaty CEZ.</w:t>
      </w:r>
    </w:p>
    <w:p>
      <w:pPr>
        <w:pStyle w:val="ListParagraph"/>
        <w:numPr>
          <w:ilvl w:val="1"/>
          <w:numId w:val="82"/>
        </w:numPr>
        <w:tabs>
          <w:tab w:val="clear" w:pos="708"/>
          <w:tab w:val="left" w:pos="993" w:leader="none"/>
        </w:tabs>
        <w:spacing w:lineRule="auto" w:line="259" w:before="0" w:after="160"/>
        <w:contextualSpacing/>
        <w:jc w:val="both"/>
        <w:rPr/>
      </w:pPr>
      <w:r>
        <w:rPr/>
        <w:t>Uznawanie istniejących wyników w systemie.</w:t>
      </w:r>
    </w:p>
    <w:p>
      <w:pPr>
        <w:pStyle w:val="ListParagraph"/>
        <w:numPr>
          <w:ilvl w:val="1"/>
          <w:numId w:val="82"/>
        </w:numPr>
        <w:tabs>
          <w:tab w:val="clear" w:pos="708"/>
          <w:tab w:val="left" w:pos="993" w:leader="none"/>
        </w:tabs>
        <w:spacing w:lineRule="auto" w:line="259" w:before="0" w:after="160"/>
        <w:contextualSpacing/>
        <w:jc w:val="both"/>
        <w:rPr/>
      </w:pPr>
      <w:r>
        <w:rPr/>
        <w:t>Wprowadzanie wyników z zewnętrznych systemów.</w:t>
      </w:r>
    </w:p>
    <w:p>
      <w:pPr>
        <w:pStyle w:val="ListParagraph"/>
        <w:numPr>
          <w:ilvl w:val="0"/>
          <w:numId w:val="82"/>
        </w:numPr>
        <w:tabs>
          <w:tab w:val="clear" w:pos="708"/>
          <w:tab w:val="left" w:pos="993" w:leader="none"/>
        </w:tabs>
        <w:spacing w:lineRule="auto" w:line="259" w:before="0" w:after="160"/>
        <w:contextualSpacing/>
        <w:jc w:val="both"/>
        <w:rPr/>
      </w:pPr>
      <w:r>
        <w:rPr/>
        <w:t>System musi zapewniać komunikację z systemem P1 w zakresie IPOM oraz HIPOM:</w:t>
      </w:r>
    </w:p>
    <w:p>
      <w:pPr>
        <w:pStyle w:val="ListParagraph"/>
        <w:numPr>
          <w:ilvl w:val="1"/>
          <w:numId w:val="82"/>
        </w:numPr>
        <w:tabs>
          <w:tab w:val="clear" w:pos="708"/>
          <w:tab w:val="left" w:pos="993" w:leader="none"/>
        </w:tabs>
        <w:spacing w:lineRule="auto" w:line="259" w:before="0" w:after="160"/>
        <w:contextualSpacing/>
        <w:jc w:val="both"/>
        <w:rPr/>
      </w:pPr>
      <w:r>
        <w:rPr/>
        <w:t>Wysyłka IPOMu oraz HIPOMu.</w:t>
      </w:r>
    </w:p>
    <w:p>
      <w:pPr>
        <w:pStyle w:val="ListParagraph"/>
        <w:numPr>
          <w:ilvl w:val="1"/>
          <w:numId w:val="82"/>
        </w:numPr>
        <w:tabs>
          <w:tab w:val="clear" w:pos="708"/>
          <w:tab w:val="left" w:pos="993" w:leader="none"/>
        </w:tabs>
        <w:spacing w:lineRule="auto" w:line="259" w:before="0" w:after="160"/>
        <w:contextualSpacing/>
        <w:jc w:val="both"/>
        <w:rPr/>
      </w:pPr>
      <w:r>
        <w:rPr/>
        <w:t>Wysyłka dokumentu anulowania IPOMu oraz HIPOMu.</w:t>
      </w:r>
    </w:p>
    <w:p>
      <w:pPr>
        <w:pStyle w:val="ListParagraph"/>
        <w:numPr>
          <w:ilvl w:val="0"/>
          <w:numId w:val="82"/>
        </w:numPr>
        <w:tabs>
          <w:tab w:val="clear" w:pos="708"/>
          <w:tab w:val="left" w:pos="993" w:leader="none"/>
        </w:tabs>
        <w:spacing w:lineRule="auto" w:line="259" w:before="0" w:after="160"/>
        <w:contextualSpacing/>
        <w:jc w:val="both"/>
        <w:rPr/>
      </w:pPr>
      <w:r>
        <w:rPr/>
        <w:t>System musi zapewniać rejestrację pacjenta do programu Opieka koordynowana w POZ.</w:t>
      </w:r>
    </w:p>
    <w:p>
      <w:pPr>
        <w:pStyle w:val="ListParagraph"/>
        <w:numPr>
          <w:ilvl w:val="0"/>
          <w:numId w:val="82"/>
        </w:numPr>
        <w:tabs>
          <w:tab w:val="clear" w:pos="708"/>
          <w:tab w:val="left" w:pos="993" w:leader="none"/>
        </w:tabs>
        <w:spacing w:lineRule="auto" w:line="259" w:before="0" w:after="160"/>
        <w:contextualSpacing/>
        <w:jc w:val="both"/>
        <w:rPr/>
      </w:pPr>
      <w:r>
        <w:rPr/>
        <w:t xml:space="preserve">System musi zapewniać oznaczenie chorób wg ICD-10 stanowiących przyczynę diagnostyki </w:t>
        <w:br/>
        <w:t>i leczenia osób przewlekle chorych wg wytycznych NFZ.</w:t>
      </w:r>
    </w:p>
    <w:p>
      <w:pPr>
        <w:pStyle w:val="ListParagraph"/>
        <w:numPr>
          <w:ilvl w:val="0"/>
          <w:numId w:val="82"/>
        </w:numPr>
        <w:tabs>
          <w:tab w:val="clear" w:pos="708"/>
          <w:tab w:val="left" w:pos="993" w:leader="none"/>
        </w:tabs>
        <w:spacing w:lineRule="auto" w:line="259" w:before="0" w:after="160"/>
        <w:contextualSpacing/>
        <w:jc w:val="both"/>
        <w:rPr/>
      </w:pPr>
      <w:r>
        <w:rPr/>
        <w:t>System musi zapewniać oznaczenie procedur medycznych ICD-9 w ramach budżetu opieki koordynowanej wg wytycznych NFZ.</w:t>
      </w:r>
    </w:p>
    <w:p>
      <w:pPr>
        <w:pStyle w:val="ListParagraph"/>
        <w:numPr>
          <w:ilvl w:val="0"/>
          <w:numId w:val="82"/>
        </w:numPr>
        <w:tabs>
          <w:tab w:val="clear" w:pos="708"/>
          <w:tab w:val="left" w:pos="993" w:leader="none"/>
        </w:tabs>
        <w:spacing w:lineRule="auto" w:line="259" w:before="0" w:after="160"/>
        <w:contextualSpacing/>
        <w:jc w:val="both"/>
        <w:rPr/>
      </w:pPr>
      <w:r>
        <w:rPr/>
        <w:t>System musi zapewniać weryfikację rozpoznań wizyty pod kątem klasyfikacji pacjenta do Opieki koordynowanej w POZ.</w:t>
      </w:r>
    </w:p>
    <w:p>
      <w:pPr>
        <w:pStyle w:val="ListParagraph"/>
        <w:numPr>
          <w:ilvl w:val="0"/>
          <w:numId w:val="82"/>
        </w:numPr>
        <w:tabs>
          <w:tab w:val="clear" w:pos="708"/>
          <w:tab w:val="left" w:pos="993" w:leader="none"/>
        </w:tabs>
        <w:spacing w:lineRule="auto" w:line="259" w:before="0" w:after="160"/>
        <w:contextualSpacing/>
        <w:jc w:val="both"/>
        <w:rPr/>
      </w:pPr>
      <w:r>
        <w:rPr/>
        <w:t>System musi zapewniać dostęp do listy pacjentów z IPOMem oraz HIPOMem.</w:t>
      </w:r>
    </w:p>
    <w:p>
      <w:pPr>
        <w:pStyle w:val="ListParagraph"/>
        <w:numPr>
          <w:ilvl w:val="0"/>
          <w:numId w:val="82"/>
        </w:numPr>
        <w:tabs>
          <w:tab w:val="clear" w:pos="708"/>
          <w:tab w:val="left" w:pos="993" w:leader="none"/>
        </w:tabs>
        <w:spacing w:lineRule="auto" w:line="259" w:before="0" w:after="160"/>
        <w:contextualSpacing/>
        <w:jc w:val="both"/>
        <w:rPr/>
      </w:pPr>
      <w:r>
        <w:rPr/>
        <w:t>System musi zapewniać weryfikację liczby wizyt do zaplanowania w ramach Opieki koordynowanej w POZ.</w:t>
      </w:r>
    </w:p>
    <w:p>
      <w:pPr>
        <w:pStyle w:val="ListParagraph"/>
        <w:tabs>
          <w:tab w:val="clear" w:pos="708"/>
          <w:tab w:val="left" w:pos="993" w:leader="none"/>
        </w:tabs>
        <w:ind w:left="360"/>
        <w:jc w:val="both"/>
        <w:rPr/>
      </w:pPr>
      <w:r>
        <w:rPr/>
      </w:r>
    </w:p>
    <w:p>
      <w:pPr>
        <w:pStyle w:val="Normal"/>
        <w:numPr>
          <w:ilvl w:val="0"/>
          <w:numId w:val="59"/>
        </w:numPr>
        <w:tabs>
          <w:tab w:val="clear" w:pos="708"/>
          <w:tab w:val="left" w:pos="993" w:leader="none"/>
        </w:tabs>
        <w:spacing w:lineRule="auto" w:line="259" w:before="0" w:after="160"/>
        <w:rPr/>
      </w:pPr>
      <w:r>
        <w:rPr>
          <w:b/>
          <w:bCs/>
        </w:rPr>
        <w:t>Integracje (wewnętrzne oraz zewnętrzne):</w:t>
      </w:r>
    </w:p>
    <w:p>
      <w:pPr>
        <w:pStyle w:val="ListParagraph"/>
        <w:numPr>
          <w:ilvl w:val="0"/>
          <w:numId w:val="90"/>
        </w:numPr>
        <w:tabs>
          <w:tab w:val="clear" w:pos="708"/>
          <w:tab w:val="left" w:pos="993" w:leader="none"/>
        </w:tabs>
        <w:spacing w:lineRule="auto" w:line="259" w:before="0" w:after="160"/>
        <w:contextualSpacing/>
        <w:jc w:val="both"/>
        <w:rPr/>
      </w:pPr>
      <w:r>
        <w:rPr/>
        <w:t xml:space="preserve">Wewnętrzne: </w:t>
      </w:r>
    </w:p>
    <w:p>
      <w:pPr>
        <w:pStyle w:val="ListParagraph"/>
        <w:numPr>
          <w:ilvl w:val="1"/>
          <w:numId w:val="90"/>
        </w:numPr>
        <w:tabs>
          <w:tab w:val="clear" w:pos="708"/>
          <w:tab w:val="left" w:pos="426" w:leader="none"/>
        </w:tabs>
        <w:spacing w:lineRule="auto" w:line="259" w:before="0" w:after="160"/>
        <w:contextualSpacing/>
        <w:jc w:val="both"/>
        <w:rPr/>
      </w:pPr>
      <w:r>
        <w:rPr/>
        <w:t>Repozytorium EDM.</w:t>
      </w:r>
    </w:p>
    <w:p>
      <w:pPr>
        <w:pStyle w:val="ListParagraph"/>
        <w:numPr>
          <w:ilvl w:val="0"/>
          <w:numId w:val="90"/>
        </w:numPr>
        <w:tabs>
          <w:tab w:val="clear" w:pos="708"/>
          <w:tab w:val="left" w:pos="993" w:leader="none"/>
        </w:tabs>
        <w:spacing w:lineRule="auto" w:line="259" w:before="0" w:after="160"/>
        <w:contextualSpacing/>
        <w:jc w:val="both"/>
        <w:rPr/>
      </w:pPr>
      <w:r>
        <w:rPr/>
        <w:t>Zewnętrzne:</w:t>
      </w:r>
    </w:p>
    <w:p>
      <w:pPr>
        <w:pStyle w:val="ListParagraph"/>
        <w:numPr>
          <w:ilvl w:val="1"/>
          <w:numId w:val="90"/>
        </w:numPr>
        <w:tabs>
          <w:tab w:val="clear" w:pos="708"/>
          <w:tab w:val="left" w:pos="993" w:leader="none"/>
        </w:tabs>
        <w:spacing w:lineRule="auto" w:line="259" w:before="0" w:after="160"/>
        <w:contextualSpacing/>
        <w:jc w:val="both"/>
        <w:rPr/>
      </w:pPr>
      <w:r>
        <w:rPr/>
        <w:t>Produkt integruje się z zewnętrznym systemem e-Zdrowie (P1) w celu przekazywania dokumentów planu opieki medycznej oraz harmonogramów.</w:t>
      </w:r>
    </w:p>
    <w:p>
      <w:pPr>
        <w:pStyle w:val="ListParagraph"/>
        <w:numPr>
          <w:ilvl w:val="1"/>
          <w:numId w:val="90"/>
        </w:numPr>
        <w:tabs>
          <w:tab w:val="clear" w:pos="708"/>
          <w:tab w:val="left" w:pos="993" w:leader="none"/>
        </w:tabs>
        <w:spacing w:lineRule="auto" w:line="259" w:before="0" w:after="160"/>
        <w:contextualSpacing/>
        <w:jc w:val="both"/>
        <w:rPr/>
      </w:pPr>
      <w:r>
        <w:rPr>
          <w:rFonts w:cs="Calibri" w:cstheme="minorHAnsi"/>
        </w:rPr>
        <w:t>Komunikacja z systemem P1 odbywa się poprzez API SOAP oraz platformę integracyjną HIS.</w:t>
      </w:r>
    </w:p>
    <w:p>
      <w:pPr>
        <w:pStyle w:val="ListParagraph"/>
        <w:numPr>
          <w:ilvl w:val="1"/>
          <w:numId w:val="90"/>
        </w:numPr>
        <w:tabs>
          <w:tab w:val="clear" w:pos="708"/>
          <w:tab w:val="left" w:pos="993" w:leader="none"/>
        </w:tabs>
        <w:spacing w:lineRule="auto" w:line="259" w:before="0" w:after="160"/>
        <w:contextualSpacing/>
        <w:jc w:val="both"/>
        <w:rPr/>
      </w:pPr>
      <w:r>
        <w:rPr>
          <w:rFonts w:cs="Calibri" w:cstheme="minorHAnsi"/>
        </w:rPr>
        <w:t>Zawartość dokumentów przekazywana jest za pośrednictwem usług udostępnionych przez Centrum e-Zdrowia w formie dokumentów XML.</w:t>
      </w:r>
    </w:p>
    <w:p>
      <w:pPr>
        <w:pStyle w:val="Normal"/>
        <w:tabs>
          <w:tab w:val="clear" w:pos="708"/>
          <w:tab w:val="left" w:pos="993" w:leader="none"/>
        </w:tabs>
        <w:jc w:val="both"/>
        <w:rPr/>
      </w:pPr>
      <w:r>
        <w:rPr/>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ListParagraph"/>
        <w:numPr>
          <w:ilvl w:val="0"/>
          <w:numId w:val="83"/>
        </w:numPr>
        <w:tabs>
          <w:tab w:val="clear" w:pos="708"/>
          <w:tab w:val="left" w:pos="993" w:leader="none"/>
        </w:tabs>
        <w:spacing w:lineRule="auto" w:line="259" w:before="0" w:after="160"/>
        <w:ind w:hanging="218" w:left="360"/>
        <w:contextualSpacing/>
        <w:jc w:val="both"/>
        <w:rPr/>
      </w:pPr>
      <w:r>
        <w:rPr/>
        <w:t>Funkcjonalności korzystają z modułu Gabinet Przychodnia HIS w zakresie:</w:t>
      </w:r>
    </w:p>
    <w:p>
      <w:pPr>
        <w:pStyle w:val="ListParagraph"/>
        <w:numPr>
          <w:ilvl w:val="1"/>
          <w:numId w:val="84"/>
        </w:numPr>
        <w:tabs>
          <w:tab w:val="clear" w:pos="708"/>
          <w:tab w:val="left" w:pos="993" w:leader="none"/>
        </w:tabs>
        <w:spacing w:lineRule="auto" w:line="259" w:before="0" w:after="160"/>
        <w:contextualSpacing/>
        <w:jc w:val="both"/>
        <w:rPr/>
      </w:pPr>
      <w:r>
        <w:rPr/>
        <w:t>Danych pacjenta dot. stale przyjmowanych leków, chorób przewlekłych,</w:t>
      </w:r>
    </w:p>
    <w:p>
      <w:pPr>
        <w:pStyle w:val="ListParagraph"/>
        <w:numPr>
          <w:ilvl w:val="1"/>
          <w:numId w:val="84"/>
        </w:numPr>
        <w:tabs>
          <w:tab w:val="clear" w:pos="708"/>
          <w:tab w:val="left" w:pos="993" w:leader="none"/>
        </w:tabs>
        <w:spacing w:lineRule="auto" w:line="259" w:before="0" w:after="160"/>
        <w:contextualSpacing/>
        <w:jc w:val="both"/>
        <w:rPr/>
      </w:pPr>
      <w:r>
        <w:rPr/>
        <w:t>Danych wizyty w szczególności z zaleceń lekarskich, zleceń na badania laboratoryjne i diagnostyczne,</w:t>
      </w:r>
    </w:p>
    <w:p>
      <w:pPr>
        <w:pStyle w:val="ListParagraph"/>
        <w:numPr>
          <w:ilvl w:val="1"/>
          <w:numId w:val="84"/>
        </w:numPr>
        <w:tabs>
          <w:tab w:val="clear" w:pos="708"/>
          <w:tab w:val="left" w:pos="993" w:leader="none"/>
        </w:tabs>
        <w:spacing w:lineRule="auto" w:line="259" w:before="0" w:after="160"/>
        <w:contextualSpacing/>
        <w:jc w:val="both"/>
        <w:rPr/>
      </w:pPr>
      <w:r>
        <w:rPr/>
        <w:t>Świadczeń zaplanowanych w terminarzu,</w:t>
      </w:r>
    </w:p>
    <w:p>
      <w:pPr>
        <w:pStyle w:val="ListParagraph"/>
        <w:numPr>
          <w:ilvl w:val="1"/>
          <w:numId w:val="84"/>
        </w:numPr>
        <w:tabs>
          <w:tab w:val="clear" w:pos="708"/>
          <w:tab w:val="left" w:pos="993" w:leader="none"/>
        </w:tabs>
        <w:spacing w:lineRule="auto" w:line="259" w:before="0" w:after="160"/>
        <w:contextualSpacing/>
        <w:jc w:val="both"/>
        <w:rPr/>
      </w:pPr>
      <w:r>
        <w:rPr/>
        <w:t>Wykonanych świadczeń,</w:t>
      </w:r>
    </w:p>
    <w:p>
      <w:pPr>
        <w:pStyle w:val="ListParagraph"/>
        <w:numPr>
          <w:ilvl w:val="1"/>
          <w:numId w:val="84"/>
        </w:numPr>
        <w:tabs>
          <w:tab w:val="clear" w:pos="708"/>
          <w:tab w:val="left" w:pos="993" w:leader="none"/>
        </w:tabs>
        <w:spacing w:lineRule="auto" w:line="259" w:before="0" w:after="160"/>
        <w:contextualSpacing/>
        <w:jc w:val="both"/>
        <w:rPr/>
      </w:pPr>
      <w:r>
        <w:rPr/>
        <w:t>Przypisania pacjenta do programu Opieka koordynowana w POZ.</w:t>
      </w:r>
    </w:p>
    <w:p>
      <w:pPr>
        <w:pStyle w:val="ListParagraph"/>
        <w:numPr>
          <w:ilvl w:val="0"/>
          <w:numId w:val="83"/>
        </w:numPr>
        <w:tabs>
          <w:tab w:val="clear" w:pos="708"/>
          <w:tab w:val="left" w:pos="993" w:leader="none"/>
        </w:tabs>
        <w:spacing w:lineRule="auto" w:line="259" w:before="0" w:after="160"/>
        <w:ind w:hanging="218" w:left="360"/>
        <w:contextualSpacing/>
        <w:jc w:val="both"/>
        <w:rPr/>
      </w:pPr>
      <w:r>
        <w:rPr/>
        <w:t>Integracja z systemem P1 oparta jest o konfigurację określoną w module Panel administracyjny HIS.</w:t>
      </w:r>
    </w:p>
    <w:p>
      <w:pPr>
        <w:pStyle w:val="Normal"/>
        <w:tabs>
          <w:tab w:val="clear" w:pos="708"/>
          <w:tab w:val="left" w:pos="993" w:leader="none"/>
        </w:tabs>
        <w:jc w:val="both"/>
        <w:rPr/>
      </w:pPr>
      <w:r>
        <w:rPr/>
      </w:r>
    </w:p>
    <w:p>
      <w:pPr>
        <w:pStyle w:val="ListParagraph"/>
        <w:pBdr>
          <w:bottom w:val="single" w:sz="12" w:space="1" w:color="000000"/>
        </w:pBdr>
        <w:spacing w:lineRule="auto" w:line="240"/>
        <w:ind w:left="0"/>
        <w:jc w:val="both"/>
        <w:rPr>
          <w:b/>
          <w:bCs/>
          <w:sz w:val="28"/>
          <w:szCs w:val="24"/>
        </w:rPr>
      </w:pPr>
      <w:r>
        <w:rPr>
          <w:b/>
          <w:bCs/>
          <w:sz w:val="28"/>
          <w:szCs w:val="24"/>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left="720"/>
        <w:jc w:val="both"/>
        <w:rPr/>
      </w:pPr>
      <w:r>
        <w:rPr/>
        <w:t>Produkt zostanie uznany za zgodny funkcjonalnie, jeśli:</w:t>
      </w:r>
    </w:p>
    <w:p>
      <w:pPr>
        <w:pStyle w:val="ListParagraph"/>
        <w:numPr>
          <w:ilvl w:val="0"/>
          <w:numId w:val="88"/>
        </w:numPr>
        <w:tabs>
          <w:tab w:val="clear" w:pos="708"/>
          <w:tab w:val="left" w:pos="993" w:leader="none"/>
        </w:tabs>
        <w:spacing w:lineRule="auto" w:line="259" w:before="0" w:after="160"/>
        <w:contextualSpacing/>
        <w:jc w:val="both"/>
        <w:rPr/>
      </w:pPr>
      <w:r>
        <w:rPr/>
        <w:t>Umożliwia tworzenie, edycję IPOMu.</w:t>
      </w:r>
    </w:p>
    <w:p>
      <w:pPr>
        <w:pStyle w:val="ListParagraph"/>
        <w:numPr>
          <w:ilvl w:val="0"/>
          <w:numId w:val="88"/>
        </w:numPr>
        <w:tabs>
          <w:tab w:val="clear" w:pos="708"/>
          <w:tab w:val="left" w:pos="993" w:leader="none"/>
        </w:tabs>
        <w:spacing w:lineRule="auto" w:line="259" w:before="0" w:after="160"/>
        <w:contextualSpacing/>
        <w:jc w:val="both"/>
        <w:rPr/>
      </w:pPr>
      <w:r>
        <w:rPr/>
        <w:t>W ramach IPOMu:</w:t>
      </w:r>
    </w:p>
    <w:p>
      <w:pPr>
        <w:pStyle w:val="ListParagraph"/>
        <w:numPr>
          <w:ilvl w:val="1"/>
          <w:numId w:val="88"/>
        </w:numPr>
        <w:tabs>
          <w:tab w:val="clear" w:pos="708"/>
          <w:tab w:val="left" w:pos="993" w:leader="none"/>
        </w:tabs>
        <w:spacing w:lineRule="auto" w:line="259" w:before="0" w:after="160"/>
        <w:contextualSpacing/>
        <w:jc w:val="both"/>
        <w:rPr/>
      </w:pPr>
      <w:r>
        <w:rPr/>
        <w:t>Możliwe jest pobranie aktualnie stale przyjmowanych leków, chorób przewlekłych,</w:t>
      </w:r>
    </w:p>
    <w:p>
      <w:pPr>
        <w:pStyle w:val="ListParagraph"/>
        <w:numPr>
          <w:ilvl w:val="1"/>
          <w:numId w:val="88"/>
        </w:numPr>
        <w:tabs>
          <w:tab w:val="clear" w:pos="708"/>
          <w:tab w:val="left" w:pos="993" w:leader="none"/>
        </w:tabs>
        <w:spacing w:lineRule="auto" w:line="259" w:before="0" w:after="160"/>
        <w:contextualSpacing/>
        <w:jc w:val="both"/>
        <w:rPr/>
      </w:pPr>
      <w:r>
        <w:rPr/>
        <w:t>Występuje ograniczenie liczby porad dietetycznych oraz lekarsko-pielęgniarskich.</w:t>
      </w:r>
    </w:p>
    <w:p>
      <w:pPr>
        <w:pStyle w:val="ListParagraph"/>
        <w:numPr>
          <w:ilvl w:val="1"/>
          <w:numId w:val="88"/>
        </w:numPr>
        <w:tabs>
          <w:tab w:val="clear" w:pos="708"/>
          <w:tab w:val="left" w:pos="993" w:leader="none"/>
        </w:tabs>
        <w:spacing w:lineRule="auto" w:line="259" w:before="0" w:after="160"/>
        <w:contextualSpacing/>
        <w:jc w:val="both"/>
        <w:rPr/>
      </w:pPr>
      <w:r>
        <w:rPr/>
        <w:t xml:space="preserve">Możliwe jest skopiowanie zaleceń z wizyty, zleconych badań laboratoryjnych </w:t>
        <w:br/>
        <w:t>i diagnostycznych,</w:t>
      </w:r>
    </w:p>
    <w:p>
      <w:pPr>
        <w:pStyle w:val="ListParagraph"/>
        <w:numPr>
          <w:ilvl w:val="1"/>
          <w:numId w:val="88"/>
        </w:numPr>
        <w:tabs>
          <w:tab w:val="clear" w:pos="708"/>
          <w:tab w:val="left" w:pos="993" w:leader="none"/>
        </w:tabs>
        <w:spacing w:lineRule="auto" w:line="259" w:before="0" w:after="160"/>
        <w:contextualSpacing/>
        <w:jc w:val="both"/>
        <w:rPr/>
      </w:pPr>
      <w:r>
        <w:rPr/>
        <w:t>Weryfikowane są rozpoznania klasyfikowane do Opieki koordynowanej w POZ,</w:t>
      </w:r>
    </w:p>
    <w:p>
      <w:pPr>
        <w:pStyle w:val="ListParagraph"/>
        <w:numPr>
          <w:ilvl w:val="1"/>
          <w:numId w:val="88"/>
        </w:numPr>
        <w:tabs>
          <w:tab w:val="clear" w:pos="708"/>
          <w:tab w:val="left" w:pos="993" w:leader="none"/>
        </w:tabs>
        <w:spacing w:lineRule="auto" w:line="259" w:before="0" w:after="160"/>
        <w:contextualSpacing/>
        <w:jc w:val="both"/>
        <w:rPr/>
      </w:pPr>
      <w:r>
        <w:rPr/>
        <w:t>Weryfikowane są procedury medyczne klasyfikowane do budżetu powierzonego Opiece koordynowanej w POZ,</w:t>
      </w:r>
    </w:p>
    <w:p>
      <w:pPr>
        <w:pStyle w:val="ListParagraph"/>
        <w:numPr>
          <w:ilvl w:val="1"/>
          <w:numId w:val="88"/>
        </w:numPr>
        <w:tabs>
          <w:tab w:val="clear" w:pos="708"/>
          <w:tab w:val="left" w:pos="993" w:leader="none"/>
        </w:tabs>
        <w:spacing w:lineRule="auto" w:line="259" w:before="0" w:after="160"/>
        <w:contextualSpacing/>
        <w:jc w:val="both"/>
        <w:rPr/>
      </w:pPr>
      <w:r>
        <w:rPr/>
        <w:t>Występuje prawidłowa autoryzacja danych i podpis dokumentu IPOM,</w:t>
      </w:r>
    </w:p>
    <w:p>
      <w:pPr>
        <w:pStyle w:val="ListParagraph"/>
        <w:numPr>
          <w:ilvl w:val="1"/>
          <w:numId w:val="88"/>
        </w:numPr>
        <w:tabs>
          <w:tab w:val="clear" w:pos="708"/>
          <w:tab w:val="left" w:pos="993" w:leader="none"/>
        </w:tabs>
        <w:spacing w:lineRule="auto" w:line="259" w:before="0" w:after="160"/>
        <w:contextualSpacing/>
        <w:jc w:val="both"/>
        <w:rPr/>
      </w:pPr>
      <w:r>
        <w:rPr/>
        <w:t>Zapewnia przekazanie IPOMu do EDM,</w:t>
      </w:r>
    </w:p>
    <w:p>
      <w:pPr>
        <w:pStyle w:val="ListParagraph"/>
        <w:numPr>
          <w:ilvl w:val="1"/>
          <w:numId w:val="88"/>
        </w:numPr>
        <w:tabs>
          <w:tab w:val="clear" w:pos="708"/>
          <w:tab w:val="left" w:pos="993" w:leader="none"/>
        </w:tabs>
        <w:spacing w:lineRule="auto" w:line="259" w:before="0" w:after="160"/>
        <w:contextualSpacing/>
        <w:jc w:val="both"/>
        <w:rPr/>
      </w:pPr>
      <w:r>
        <w:rPr/>
        <w:t>Wydruk informacyjny IPOMu jest zgodny z transformatą CeZ,</w:t>
      </w:r>
    </w:p>
    <w:p>
      <w:pPr>
        <w:pStyle w:val="ListParagraph"/>
        <w:numPr>
          <w:ilvl w:val="1"/>
          <w:numId w:val="88"/>
        </w:numPr>
        <w:tabs>
          <w:tab w:val="clear" w:pos="708"/>
          <w:tab w:val="left" w:pos="993" w:leader="none"/>
        </w:tabs>
        <w:spacing w:lineRule="auto" w:line="259" w:before="0" w:after="160"/>
        <w:contextualSpacing/>
        <w:jc w:val="both"/>
        <w:rPr/>
      </w:pPr>
      <w:r>
        <w:rPr/>
        <w:t>Możliwe jest dodanie wielu IPOMów,</w:t>
      </w:r>
    </w:p>
    <w:p>
      <w:pPr>
        <w:pStyle w:val="ListParagraph"/>
        <w:numPr>
          <w:ilvl w:val="1"/>
          <w:numId w:val="88"/>
        </w:numPr>
        <w:tabs>
          <w:tab w:val="clear" w:pos="708"/>
          <w:tab w:val="left" w:pos="993" w:leader="none"/>
        </w:tabs>
        <w:spacing w:lineRule="auto" w:line="259" w:before="0" w:after="160"/>
        <w:contextualSpacing/>
        <w:jc w:val="both"/>
        <w:rPr/>
      </w:pPr>
      <w:r>
        <w:rPr/>
        <w:t>Po wprowadzeniu IPOMu system automatycznie rejestruje pacjenta w programie Opieka koordynowana w POZ.</w:t>
      </w:r>
    </w:p>
    <w:p>
      <w:pPr>
        <w:pStyle w:val="ListParagraph"/>
        <w:numPr>
          <w:ilvl w:val="0"/>
          <w:numId w:val="88"/>
        </w:numPr>
        <w:tabs>
          <w:tab w:val="clear" w:pos="708"/>
          <w:tab w:val="left" w:pos="993" w:leader="none"/>
        </w:tabs>
        <w:spacing w:lineRule="auto" w:line="259" w:before="0" w:after="160"/>
        <w:contextualSpacing/>
        <w:jc w:val="both"/>
        <w:rPr/>
      </w:pPr>
      <w:r>
        <w:rPr/>
        <w:t>Umożliwia tworzenie, edycję HIPOMu na podstawie IPOMu.</w:t>
      </w:r>
    </w:p>
    <w:p>
      <w:pPr>
        <w:pStyle w:val="ListParagraph"/>
        <w:numPr>
          <w:ilvl w:val="0"/>
          <w:numId w:val="88"/>
        </w:numPr>
        <w:tabs>
          <w:tab w:val="clear" w:pos="708"/>
          <w:tab w:val="left" w:pos="993" w:leader="none"/>
        </w:tabs>
        <w:spacing w:lineRule="auto" w:line="259" w:before="0" w:after="160"/>
        <w:contextualSpacing/>
        <w:jc w:val="both"/>
        <w:rPr/>
      </w:pPr>
      <w:r>
        <w:rPr/>
        <w:t>W ramach HIPOMu:</w:t>
      </w:r>
    </w:p>
    <w:p>
      <w:pPr>
        <w:pStyle w:val="ListParagraph"/>
        <w:numPr>
          <w:ilvl w:val="1"/>
          <w:numId w:val="88"/>
        </w:numPr>
        <w:tabs>
          <w:tab w:val="clear" w:pos="708"/>
          <w:tab w:val="left" w:pos="993" w:leader="none"/>
        </w:tabs>
        <w:spacing w:lineRule="auto" w:line="259" w:before="0" w:after="160"/>
        <w:contextualSpacing/>
        <w:jc w:val="both"/>
        <w:rPr/>
      </w:pPr>
      <w:r>
        <w:rPr/>
        <w:t>Generowane są świadczenia do zaplanowania na podstawie IPOMu,</w:t>
      </w:r>
    </w:p>
    <w:p>
      <w:pPr>
        <w:pStyle w:val="ListParagraph"/>
        <w:numPr>
          <w:ilvl w:val="1"/>
          <w:numId w:val="88"/>
        </w:numPr>
        <w:tabs>
          <w:tab w:val="clear" w:pos="708"/>
          <w:tab w:val="left" w:pos="993" w:leader="none"/>
        </w:tabs>
        <w:spacing w:lineRule="auto" w:line="259" w:before="0" w:after="160"/>
        <w:contextualSpacing/>
        <w:jc w:val="both"/>
        <w:rPr/>
      </w:pPr>
      <w:r>
        <w:rPr/>
        <w:t>Możliwe jest planowanie świadczeń ręczne lub w powiązaniu z terminarzem,</w:t>
      </w:r>
    </w:p>
    <w:p>
      <w:pPr>
        <w:pStyle w:val="ListParagraph"/>
        <w:numPr>
          <w:ilvl w:val="1"/>
          <w:numId w:val="88"/>
        </w:numPr>
        <w:tabs>
          <w:tab w:val="clear" w:pos="708"/>
          <w:tab w:val="left" w:pos="993" w:leader="none"/>
        </w:tabs>
        <w:spacing w:lineRule="auto" w:line="259" w:before="0" w:after="160"/>
        <w:contextualSpacing/>
        <w:jc w:val="both"/>
        <w:rPr/>
      </w:pPr>
      <w:r>
        <w:rPr/>
        <w:t>Status i data realizacji świadczenia powiązanego z terminarzem są aktualizowane automatycznie,</w:t>
      </w:r>
    </w:p>
    <w:p>
      <w:pPr>
        <w:pStyle w:val="ListParagraph"/>
        <w:numPr>
          <w:ilvl w:val="1"/>
          <w:numId w:val="88"/>
        </w:numPr>
        <w:tabs>
          <w:tab w:val="clear" w:pos="708"/>
          <w:tab w:val="left" w:pos="993" w:leader="none"/>
        </w:tabs>
        <w:spacing w:lineRule="auto" w:line="259" w:before="0" w:after="160"/>
        <w:contextualSpacing/>
        <w:jc w:val="both"/>
        <w:rPr/>
      </w:pPr>
      <w:r>
        <w:rPr/>
        <w:t>Umożliwia uznanie istniejących wyników w systemie,</w:t>
      </w:r>
    </w:p>
    <w:p>
      <w:pPr>
        <w:pStyle w:val="ListParagraph"/>
        <w:numPr>
          <w:ilvl w:val="1"/>
          <w:numId w:val="88"/>
        </w:numPr>
        <w:tabs>
          <w:tab w:val="clear" w:pos="708"/>
          <w:tab w:val="left" w:pos="993" w:leader="none"/>
        </w:tabs>
        <w:spacing w:lineRule="auto" w:line="259" w:before="0" w:after="160"/>
        <w:contextualSpacing/>
        <w:jc w:val="both"/>
        <w:rPr/>
      </w:pPr>
      <w:r>
        <w:rPr/>
        <w:t>Umożliwia wprowadzenie wyników z zewnętrznych systemów,</w:t>
      </w:r>
    </w:p>
    <w:p>
      <w:pPr>
        <w:pStyle w:val="ListParagraph"/>
        <w:numPr>
          <w:ilvl w:val="1"/>
          <w:numId w:val="88"/>
        </w:numPr>
        <w:tabs>
          <w:tab w:val="clear" w:pos="708"/>
          <w:tab w:val="left" w:pos="993" w:leader="none"/>
        </w:tabs>
        <w:spacing w:lineRule="auto" w:line="259" w:before="0" w:after="160"/>
        <w:contextualSpacing/>
        <w:jc w:val="both"/>
        <w:rPr/>
      </w:pPr>
      <w:r>
        <w:rPr/>
        <w:t>Następuje prawidłowa aktualizacja dokumentu na podstawie zmodyfikowanego IPOMu,</w:t>
      </w:r>
    </w:p>
    <w:p>
      <w:pPr>
        <w:pStyle w:val="ListParagraph"/>
        <w:numPr>
          <w:ilvl w:val="1"/>
          <w:numId w:val="88"/>
        </w:numPr>
        <w:tabs>
          <w:tab w:val="clear" w:pos="708"/>
          <w:tab w:val="left" w:pos="993" w:leader="none"/>
        </w:tabs>
        <w:spacing w:lineRule="auto" w:line="259" w:before="0" w:after="160"/>
        <w:contextualSpacing/>
        <w:jc w:val="both"/>
        <w:rPr/>
      </w:pPr>
      <w:r>
        <w:rPr/>
        <w:t>Występuje prawidłowa autoryzacja danych i podpis dokumentu HIPOM,</w:t>
      </w:r>
    </w:p>
    <w:p>
      <w:pPr>
        <w:pStyle w:val="ListParagraph"/>
        <w:numPr>
          <w:ilvl w:val="1"/>
          <w:numId w:val="88"/>
        </w:numPr>
        <w:tabs>
          <w:tab w:val="clear" w:pos="708"/>
          <w:tab w:val="left" w:pos="993" w:leader="none"/>
        </w:tabs>
        <w:spacing w:lineRule="auto" w:line="259" w:before="0" w:after="160"/>
        <w:contextualSpacing/>
        <w:jc w:val="both"/>
        <w:rPr/>
      </w:pPr>
      <w:r>
        <w:rPr/>
        <w:t>HIPOM blokowany jest podczas modyfikacji IPOMu,</w:t>
      </w:r>
    </w:p>
    <w:p>
      <w:pPr>
        <w:pStyle w:val="ListParagraph"/>
        <w:numPr>
          <w:ilvl w:val="1"/>
          <w:numId w:val="88"/>
        </w:numPr>
        <w:tabs>
          <w:tab w:val="clear" w:pos="708"/>
          <w:tab w:val="left" w:pos="993" w:leader="none"/>
        </w:tabs>
        <w:spacing w:lineRule="auto" w:line="259" w:before="0" w:after="160"/>
        <w:contextualSpacing/>
        <w:jc w:val="both"/>
        <w:rPr/>
      </w:pPr>
      <w:r>
        <w:rPr/>
        <w:t>Zapewnia przekazanie HIPOMu do EDM,</w:t>
      </w:r>
    </w:p>
    <w:p>
      <w:pPr>
        <w:pStyle w:val="ListParagraph"/>
        <w:numPr>
          <w:ilvl w:val="1"/>
          <w:numId w:val="88"/>
        </w:numPr>
        <w:tabs>
          <w:tab w:val="clear" w:pos="708"/>
          <w:tab w:val="left" w:pos="993" w:leader="none"/>
        </w:tabs>
        <w:spacing w:lineRule="auto" w:line="259" w:before="0" w:after="160"/>
        <w:contextualSpacing/>
        <w:jc w:val="both"/>
        <w:rPr/>
      </w:pPr>
      <w:r>
        <w:rPr/>
        <w:t>Wydruk informacyjny HIPOMu jest zgodny z transformatą CeZ.</w:t>
      </w:r>
    </w:p>
    <w:p>
      <w:pPr>
        <w:pStyle w:val="ListParagraph"/>
        <w:numPr>
          <w:ilvl w:val="0"/>
          <w:numId w:val="88"/>
        </w:numPr>
        <w:tabs>
          <w:tab w:val="clear" w:pos="708"/>
          <w:tab w:val="left" w:pos="993" w:leader="none"/>
        </w:tabs>
        <w:spacing w:lineRule="auto" w:line="259" w:before="0" w:after="160"/>
        <w:contextualSpacing/>
        <w:jc w:val="both"/>
        <w:rPr/>
      </w:pPr>
      <w:r>
        <w:rPr/>
        <w:t>Zapewnia prawidłową komunikację z systemem P1 w tym prawidłowo wysyła IPOM i HIPOM oraz dokumenty anulowania planu leczenia i harmonogramu.</w:t>
      </w:r>
    </w:p>
    <w:p>
      <w:pPr>
        <w:pStyle w:val="ListParagraph"/>
        <w:numPr>
          <w:ilvl w:val="0"/>
          <w:numId w:val="88"/>
        </w:numPr>
        <w:tabs>
          <w:tab w:val="clear" w:pos="708"/>
          <w:tab w:val="left" w:pos="993" w:leader="none"/>
        </w:tabs>
        <w:spacing w:lineRule="auto" w:line="259" w:before="0" w:after="160"/>
        <w:contextualSpacing/>
        <w:jc w:val="both"/>
        <w:rPr/>
      </w:pPr>
      <w:r>
        <w:rPr/>
        <w:t>Wspiera w zakresie klasyfikacji pacjenta do programu Opieka koordynowana w POZ.</w:t>
      </w:r>
    </w:p>
    <w:p>
      <w:pPr>
        <w:pStyle w:val="ListParagraph"/>
        <w:numPr>
          <w:ilvl w:val="0"/>
          <w:numId w:val="88"/>
        </w:numPr>
        <w:tabs>
          <w:tab w:val="clear" w:pos="708"/>
          <w:tab w:val="left" w:pos="993" w:leader="none"/>
        </w:tabs>
        <w:spacing w:lineRule="auto" w:line="259" w:before="0" w:after="160"/>
        <w:contextualSpacing/>
        <w:jc w:val="both"/>
        <w:rPr/>
      </w:pPr>
      <w:r>
        <w:rPr/>
        <w:t>Umożliwia oznaczenie chorób ICD10 w ramach opieki koordynowanej.</w:t>
      </w:r>
    </w:p>
    <w:p>
      <w:pPr>
        <w:pStyle w:val="ListParagraph"/>
        <w:numPr>
          <w:ilvl w:val="0"/>
          <w:numId w:val="88"/>
        </w:numPr>
        <w:tabs>
          <w:tab w:val="clear" w:pos="708"/>
          <w:tab w:val="left" w:pos="993" w:leader="none"/>
        </w:tabs>
        <w:spacing w:lineRule="auto" w:line="259" w:before="0" w:after="160"/>
        <w:contextualSpacing/>
        <w:jc w:val="both"/>
        <w:rPr/>
      </w:pPr>
      <w:r>
        <w:rPr/>
        <w:t>Umożliwia oznaczenie procedur medycznych ICD9 w ramach budżetu opieki koordynowanej.</w:t>
      </w:r>
    </w:p>
    <w:p>
      <w:pPr>
        <w:pStyle w:val="ListParagraph"/>
        <w:numPr>
          <w:ilvl w:val="0"/>
          <w:numId w:val="88"/>
        </w:numPr>
        <w:tabs>
          <w:tab w:val="clear" w:pos="708"/>
          <w:tab w:val="left" w:pos="993" w:leader="none"/>
        </w:tabs>
        <w:spacing w:lineRule="auto" w:line="259" w:before="0" w:after="160"/>
        <w:contextualSpacing/>
        <w:jc w:val="both"/>
        <w:rPr/>
      </w:pPr>
      <w:r>
        <w:rPr/>
        <w:t>Zapewnia dostęp do listy pacjentów z IPOMem oraz HIPOMem.</w:t>
      </w:r>
    </w:p>
    <w:p>
      <w:pPr>
        <w:pStyle w:val="ListParagraph"/>
        <w:numPr>
          <w:ilvl w:val="0"/>
          <w:numId w:val="88"/>
        </w:numPr>
        <w:tabs>
          <w:tab w:val="clear" w:pos="708"/>
          <w:tab w:val="left" w:pos="993" w:leader="none"/>
        </w:tabs>
        <w:spacing w:lineRule="auto" w:line="259" w:before="0" w:after="160"/>
        <w:contextualSpacing/>
        <w:jc w:val="both"/>
        <w:rPr/>
      </w:pPr>
      <w:r>
        <w:rPr/>
        <w:t>Zapewnia weryfikację liczby wizyt do zaplanowania w ramach opieki koordynowanej.</w:t>
      </w:r>
    </w:p>
    <w:p>
      <w:pPr>
        <w:pStyle w:val="ListParagraph"/>
        <w:pBdr>
          <w:bottom w:val="single" w:sz="12" w:space="1" w:color="000000"/>
        </w:pBdr>
        <w:spacing w:lineRule="auto" w:line="240"/>
        <w:ind w:left="0"/>
        <w:jc w:val="both"/>
        <w:rPr>
          <w:b/>
          <w:bCs/>
          <w:sz w:val="28"/>
          <w:szCs w:val="24"/>
        </w:rPr>
      </w:pPr>
      <w:r>
        <w:rPr>
          <w:b/>
          <w:bCs/>
          <w:sz w:val="28"/>
          <w:szCs w:val="24"/>
        </w:rPr>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85"/>
        </w:numPr>
        <w:tabs>
          <w:tab w:val="clear" w:pos="708"/>
          <w:tab w:val="left" w:pos="993" w:leader="none"/>
        </w:tabs>
        <w:spacing w:lineRule="auto" w:line="259" w:before="0" w:after="160"/>
        <w:contextualSpacing/>
        <w:jc w:val="both"/>
        <w:rPr/>
      </w:pPr>
      <w:r>
        <w:rPr/>
        <w:t>Licencja: OK_IPOM.</w:t>
      </w:r>
    </w:p>
    <w:p>
      <w:pPr>
        <w:pStyle w:val="ListParagraph"/>
        <w:numPr>
          <w:ilvl w:val="0"/>
          <w:numId w:val="85"/>
        </w:numPr>
        <w:tabs>
          <w:tab w:val="clear" w:pos="708"/>
          <w:tab w:val="left" w:pos="993" w:leader="none"/>
        </w:tabs>
        <w:spacing w:lineRule="auto" w:line="259" w:before="0" w:after="160"/>
        <w:contextualSpacing/>
        <w:jc w:val="both"/>
        <w:rPr/>
      </w:pPr>
      <w:r>
        <w:rPr/>
        <w:t>Certyfikaty cyfrowe wydane przez Centrum Certyfikacji P1 tj. certyfikat do uwierzytelnienia systemu (TLS) i certyfikat do uwierzytelnienia danych (WS-Security).</w:t>
      </w:r>
    </w:p>
    <w:p>
      <w:pPr>
        <w:pStyle w:val="Normal"/>
        <w:tabs>
          <w:tab w:val="clear" w:pos="708"/>
          <w:tab w:val="left" w:pos="993" w:leader="none"/>
        </w:tabs>
        <w:jc w:val="both"/>
        <w:rPr/>
      </w:pPr>
      <w:r>
        <w:rPr/>
      </w:r>
    </w:p>
    <w:p>
      <w:pPr>
        <w:pStyle w:val="Normal"/>
        <w:numPr>
          <w:ilvl w:val="0"/>
          <w:numId w:val="61"/>
        </w:numPr>
        <w:tabs>
          <w:tab w:val="clear" w:pos="708"/>
          <w:tab w:val="left" w:pos="993" w:leader="none"/>
        </w:tabs>
        <w:spacing w:lineRule="auto" w:line="259" w:before="0" w:after="160"/>
        <w:rPr/>
      </w:pPr>
      <w:r>
        <w:rPr>
          <w:b/>
          <w:bCs/>
        </w:rPr>
        <w:t>Wymagania techniczne:</w:t>
      </w:r>
    </w:p>
    <w:p>
      <w:pPr>
        <w:pStyle w:val="ListParagraph"/>
        <w:numPr>
          <w:ilvl w:val="0"/>
          <w:numId w:val="89"/>
        </w:numPr>
        <w:tabs>
          <w:tab w:val="clear" w:pos="708"/>
          <w:tab w:val="left" w:pos="993" w:leader="none"/>
        </w:tabs>
        <w:spacing w:lineRule="auto" w:line="259" w:before="0" w:after="160"/>
        <w:contextualSpacing/>
        <w:jc w:val="both"/>
        <w:rPr/>
      </w:pPr>
      <w:r>
        <w:rPr>
          <w:rFonts w:eastAsia="" w:eastAsiaTheme="minorEastAsia"/>
        </w:rPr>
        <w:t>Instalacja Platformy Integracyjnej – moduł P1</w:t>
      </w:r>
      <w:r>
        <w:rPr/>
        <w:t>.</w:t>
      </w:r>
    </w:p>
    <w:p>
      <w:pPr>
        <w:pStyle w:val="Normal"/>
        <w:tabs>
          <w:tab w:val="clear" w:pos="708"/>
          <w:tab w:val="left" w:pos="993" w:leader="none"/>
        </w:tabs>
        <w:rPr/>
      </w:pPr>
      <w:r>
        <w:rPr/>
      </w:r>
    </w:p>
    <w:p>
      <w:pPr>
        <w:pStyle w:val="Normal"/>
        <w:numPr>
          <w:ilvl w:val="0"/>
          <w:numId w:val="61"/>
        </w:numPr>
        <w:tabs>
          <w:tab w:val="clear" w:pos="708"/>
          <w:tab w:val="left" w:pos="993" w:leader="none"/>
        </w:tabs>
        <w:spacing w:lineRule="auto" w:line="259" w:before="0" w:after="160"/>
        <w:rPr/>
      </w:pPr>
      <w:r>
        <w:rPr>
          <w:b/>
          <w:bCs/>
        </w:rPr>
        <w:t>Wymagania organizacyjne:</w:t>
      </w:r>
    </w:p>
    <w:p>
      <w:pPr>
        <w:pStyle w:val="ListParagraph"/>
        <w:numPr>
          <w:ilvl w:val="0"/>
          <w:numId w:val="86"/>
        </w:numPr>
        <w:tabs>
          <w:tab w:val="clear" w:pos="708"/>
          <w:tab w:val="left" w:pos="993" w:leader="none"/>
        </w:tabs>
        <w:spacing w:lineRule="auto" w:line="259" w:before="0" w:after="160"/>
        <w:contextualSpacing/>
        <w:jc w:val="both"/>
        <w:rPr/>
      </w:pPr>
      <w:r>
        <w:rPr/>
        <w:t>Jednostka musi mieć zawartą umowę z NFZ w zakresie realizacji świadczeń opieki koordynowanej w podstawowej opiece zdrowotnej.</w:t>
      </w:r>
    </w:p>
    <w:p>
      <w:pPr>
        <w:pStyle w:val="ListParagraph"/>
        <w:numPr>
          <w:ilvl w:val="0"/>
          <w:numId w:val="86"/>
        </w:numPr>
        <w:tabs>
          <w:tab w:val="clear" w:pos="708"/>
          <w:tab w:val="left" w:pos="993" w:leader="none"/>
        </w:tabs>
        <w:spacing w:lineRule="auto" w:line="259" w:before="0" w:after="160"/>
        <w:contextualSpacing/>
        <w:jc w:val="both"/>
        <w:rPr/>
      </w:pPr>
      <w:r>
        <w:rPr/>
        <w:t>Dostęp do usług sieciowych systemu P1 poprzez certyfikaty P1.</w:t>
      </w:r>
    </w:p>
    <w:p>
      <w:pPr>
        <w:pStyle w:val="ListParagraph"/>
        <w:pBdr>
          <w:bottom w:val="single" w:sz="12" w:space="1" w:color="000000"/>
        </w:pBdr>
        <w:spacing w:lineRule="auto" w:line="240"/>
        <w:ind w:left="0"/>
        <w:jc w:val="both"/>
        <w:rPr>
          <w:b/>
          <w:bCs/>
          <w:sz w:val="28"/>
          <w:szCs w:val="28"/>
        </w:rPr>
      </w:pPr>
      <w:r>
        <w:rPr>
          <w:b/>
          <w:bCs/>
          <w:sz w:val="28"/>
          <w:szCs w:val="28"/>
        </w:rPr>
      </w:r>
    </w:p>
    <w:p>
      <w:pPr>
        <w:pStyle w:val="ListParagraph"/>
        <w:pBdr>
          <w:bottom w:val="single" w:sz="12" w:space="1" w:color="000000"/>
        </w:pBdr>
        <w:spacing w:lineRule="auto" w:line="240"/>
        <w:ind w:left="0"/>
        <w:jc w:val="both"/>
        <w:rPr>
          <w:b/>
          <w:bCs/>
          <w:sz w:val="28"/>
          <w:szCs w:val="28"/>
        </w:rPr>
      </w:pPr>
      <w:r>
        <w:rPr>
          <w:b/>
          <w:bCs/>
          <w:sz w:val="28"/>
          <w:szCs w:val="28"/>
        </w:rPr>
      </w:r>
    </w:p>
    <w:p>
      <w:pPr>
        <w:pStyle w:val="ListParagraph"/>
        <w:pBdr>
          <w:bottom w:val="single" w:sz="12" w:space="1" w:color="000000"/>
        </w:pBdr>
        <w:spacing w:lineRule="auto" w:line="240"/>
        <w:ind w:left="0"/>
        <w:jc w:val="both"/>
        <w:rPr>
          <w:b/>
          <w:bCs/>
          <w:sz w:val="28"/>
          <w:szCs w:val="24"/>
        </w:rPr>
      </w:pPr>
      <w:r>
        <w:rPr>
          <w:b/>
          <w:bCs/>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8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xml:space="preserve">Opis prac konfiguracyjnych/instalacyjnych/wdrożeniowych, które mogą być u klientów wykonane wcześniej przed wgraniem licencji tak, by system był przygotowany do działania po uruchomieniu go w ramach projektu. </w:t>
      </w:r>
    </w:p>
    <w:p>
      <w:pPr>
        <w:pStyle w:val="ListParagraph"/>
        <w:numPr>
          <w:ilvl w:val="0"/>
          <w:numId w:val="87"/>
        </w:numPr>
        <w:tabs>
          <w:tab w:val="clear" w:pos="708"/>
          <w:tab w:val="left" w:pos="993" w:leader="none"/>
        </w:tabs>
        <w:spacing w:lineRule="auto" w:line="259" w:before="0" w:after="160"/>
        <w:contextualSpacing/>
        <w:jc w:val="both"/>
        <w:rPr/>
      </w:pPr>
      <w:r>
        <w:rPr/>
        <w:t>Analiza przedwdrożeniowa</w:t>
      </w:r>
    </w:p>
    <w:p>
      <w:pPr>
        <w:pStyle w:val="ListParagraph"/>
        <w:numPr>
          <w:ilvl w:val="0"/>
          <w:numId w:val="87"/>
        </w:numPr>
        <w:tabs>
          <w:tab w:val="clear" w:pos="708"/>
          <w:tab w:val="left" w:pos="993" w:leader="none"/>
        </w:tabs>
        <w:spacing w:lineRule="auto" w:line="259" w:before="0" w:after="160"/>
        <w:contextualSpacing/>
        <w:jc w:val="both"/>
        <w:rPr/>
      </w:pPr>
      <w:r>
        <w:rPr/>
        <w:t>Zdefiniowanie i ew. konfiguracja elementów leczenia zgodnie z analizą przedwdrożeniową</w:t>
      </w:r>
    </w:p>
    <w:p>
      <w:pPr>
        <w:pStyle w:val="ListParagraph"/>
        <w:numPr>
          <w:ilvl w:val="0"/>
          <w:numId w:val="87"/>
        </w:numPr>
        <w:tabs>
          <w:tab w:val="clear" w:pos="708"/>
          <w:tab w:val="left" w:pos="993" w:leader="none"/>
        </w:tabs>
        <w:spacing w:lineRule="auto" w:line="259" w:before="0" w:after="160"/>
        <w:contextualSpacing/>
        <w:jc w:val="both"/>
        <w:rPr/>
      </w:pPr>
      <w:r>
        <w:rPr/>
        <w:t>Platforma Integracyjna – instalacja modułu P1.</w:t>
      </w:r>
    </w:p>
    <w:p>
      <w:pPr>
        <w:pStyle w:val="ListParagraph"/>
        <w:numPr>
          <w:ilvl w:val="0"/>
          <w:numId w:val="87"/>
        </w:numPr>
        <w:tabs>
          <w:tab w:val="clear" w:pos="708"/>
          <w:tab w:val="left" w:pos="993" w:leader="none"/>
        </w:tabs>
        <w:spacing w:lineRule="auto" w:line="259" w:before="0" w:after="160"/>
        <w:contextualSpacing/>
        <w:jc w:val="both"/>
        <w:rPr/>
      </w:pPr>
      <w:r>
        <w:rPr/>
        <w:t xml:space="preserve">Wgranie certyfikatów do uwierzytelnienia systemu (TLS) i uwierzytelnienia danych </w:t>
        <w:br/>
        <w:t>(WS-Security).</w:t>
      </w:r>
    </w:p>
    <w:p>
      <w:pPr>
        <w:pStyle w:val="ListParagraph"/>
        <w:numPr>
          <w:ilvl w:val="0"/>
          <w:numId w:val="87"/>
        </w:numPr>
        <w:tabs>
          <w:tab w:val="clear" w:pos="708"/>
          <w:tab w:val="left" w:pos="993" w:leader="none"/>
        </w:tabs>
        <w:spacing w:lineRule="auto" w:line="259" w:before="0" w:after="160"/>
        <w:contextualSpacing/>
        <w:jc w:val="both"/>
        <w:rPr/>
      </w:pPr>
      <w:r>
        <w:rPr/>
        <w:t>Utworzenie grup użytkowników, ew. zdefiniowanie terminarzy</w:t>
      </w:r>
    </w:p>
    <w:p>
      <w:pPr>
        <w:pStyle w:val="ListParagraph"/>
        <w:numPr>
          <w:ilvl w:val="0"/>
          <w:numId w:val="87"/>
        </w:numPr>
        <w:tabs>
          <w:tab w:val="clear" w:pos="708"/>
          <w:tab w:val="left" w:pos="993" w:leader="none"/>
        </w:tabs>
        <w:spacing w:lineRule="auto" w:line="259" w:before="0" w:after="160"/>
        <w:contextualSpacing/>
        <w:jc w:val="both"/>
        <w:rPr/>
      </w:pPr>
      <w:r>
        <w:rPr/>
        <w:t>Nadanie uprawnień - Odczyt / Wpis / Autoryzacja / Modyfikacja dla IPOM i HIPOM, Panel koordynatora – HIPOM</w:t>
      </w:r>
    </w:p>
    <w:p>
      <w:pPr>
        <w:pStyle w:val="ListParagraph"/>
        <w:numPr>
          <w:ilvl w:val="0"/>
          <w:numId w:val="87"/>
        </w:numPr>
        <w:tabs>
          <w:tab w:val="clear" w:pos="708"/>
          <w:tab w:val="left" w:pos="993" w:leader="none"/>
        </w:tabs>
        <w:spacing w:lineRule="auto" w:line="259" w:before="0" w:after="160"/>
        <w:contextualSpacing/>
        <w:jc w:val="both"/>
        <w:rPr/>
      </w:pPr>
      <w:r>
        <w:rPr/>
        <w:t>Ustawienie parametrów systemowych:</w:t>
      </w:r>
    </w:p>
    <w:p>
      <w:pPr>
        <w:pStyle w:val="ListParagraph"/>
        <w:tabs>
          <w:tab w:val="clear" w:pos="708"/>
          <w:tab w:val="left" w:pos="993" w:leader="none"/>
        </w:tabs>
        <w:ind w:left="360"/>
        <w:rPr/>
      </w:pPr>
      <w:r>
        <w:rPr/>
        <w:t xml:space="preserve">- SzynaIntegr\AdresPI\IPOM, </w:t>
      </w:r>
    </w:p>
    <w:p>
      <w:pPr>
        <w:pStyle w:val="ListParagraph"/>
        <w:tabs>
          <w:tab w:val="clear" w:pos="708"/>
          <w:tab w:val="left" w:pos="993" w:leader="none"/>
        </w:tabs>
        <w:ind w:left="360"/>
        <w:rPr/>
      </w:pPr>
      <w:r>
        <w:rPr/>
        <w:t xml:space="preserve">- IPOM\OID_USLUGODAWCY, </w:t>
      </w:r>
    </w:p>
    <w:p>
      <w:pPr>
        <w:pStyle w:val="ListParagraph"/>
        <w:tabs>
          <w:tab w:val="clear" w:pos="708"/>
          <w:tab w:val="left" w:pos="993" w:leader="none"/>
        </w:tabs>
        <w:ind w:left="360"/>
        <w:rPr/>
      </w:pPr>
      <w:r>
        <w:rPr/>
        <w:t>- IPOM\ID_PREFIKS,</w:t>
      </w:r>
    </w:p>
    <w:p>
      <w:pPr>
        <w:pStyle w:val="ListParagraph"/>
        <w:tabs>
          <w:tab w:val="clear" w:pos="708"/>
          <w:tab w:val="left" w:pos="993" w:leader="none"/>
        </w:tabs>
        <w:ind w:left="360"/>
        <w:rPr/>
      </w:pPr>
      <w:r>
        <w:rPr/>
        <w:t xml:space="preserve">- IPOM\WER_PROC, </w:t>
      </w:r>
    </w:p>
    <w:p>
      <w:pPr>
        <w:pStyle w:val="ListParagraph"/>
        <w:tabs>
          <w:tab w:val="clear" w:pos="708"/>
          <w:tab w:val="left" w:pos="993" w:leader="none"/>
        </w:tabs>
        <w:ind w:left="360"/>
        <w:rPr/>
      </w:pPr>
      <w:r>
        <w:rPr/>
        <w:t xml:space="preserve">- IPOM\RODZAJ_PODPISU, </w:t>
      </w:r>
    </w:p>
    <w:p>
      <w:pPr>
        <w:pStyle w:val="ListParagraph"/>
        <w:tabs>
          <w:tab w:val="clear" w:pos="708"/>
          <w:tab w:val="left" w:pos="993" w:leader="none"/>
        </w:tabs>
        <w:ind w:left="360"/>
        <w:rPr/>
      </w:pPr>
      <w:r>
        <w:rPr/>
        <w:t>- HIPOM\ID_PREFIKS,</w:t>
      </w:r>
    </w:p>
    <w:p>
      <w:pPr>
        <w:pStyle w:val="ListParagraph"/>
        <w:tabs>
          <w:tab w:val="clear" w:pos="708"/>
          <w:tab w:val="left" w:pos="993" w:leader="none"/>
        </w:tabs>
        <w:ind w:left="360"/>
        <w:rPr/>
      </w:pPr>
      <w:r>
        <w:rPr/>
        <w:t xml:space="preserve">- IPOM\ELECZ_PORADY, </w:t>
      </w:r>
    </w:p>
    <w:p>
      <w:pPr>
        <w:pStyle w:val="ListParagraph"/>
        <w:tabs>
          <w:tab w:val="clear" w:pos="708"/>
          <w:tab w:val="left" w:pos="993" w:leader="none"/>
        </w:tabs>
        <w:ind w:left="360"/>
        <w:rPr/>
      </w:pPr>
      <w:r>
        <w:rPr/>
        <w:t xml:space="preserve">- IPOM\ELECZ_WIZ_KONTR, </w:t>
      </w:r>
    </w:p>
    <w:p>
      <w:pPr>
        <w:pStyle w:val="ListParagraph"/>
        <w:tabs>
          <w:tab w:val="clear" w:pos="708"/>
          <w:tab w:val="left" w:pos="993" w:leader="none"/>
        </w:tabs>
        <w:ind w:left="360"/>
        <w:rPr/>
      </w:pPr>
      <w:r>
        <w:rPr/>
        <w:t xml:space="preserve">- IPOM\ELECZ_WIZ_SPEC, </w:t>
      </w:r>
    </w:p>
    <w:p>
      <w:pPr>
        <w:pStyle w:val="ListParagraph"/>
        <w:tabs>
          <w:tab w:val="clear" w:pos="708"/>
          <w:tab w:val="left" w:pos="993" w:leader="none"/>
        </w:tabs>
        <w:ind w:left="360"/>
        <w:rPr/>
      </w:pPr>
      <w:r>
        <w:rPr/>
        <w:t xml:space="preserve">- IPOM\ELECZ_KON_SPEC, </w:t>
      </w:r>
    </w:p>
    <w:p>
      <w:pPr>
        <w:pStyle w:val="ListParagraph"/>
        <w:tabs>
          <w:tab w:val="clear" w:pos="708"/>
          <w:tab w:val="left" w:pos="993" w:leader="none"/>
        </w:tabs>
        <w:ind w:left="360"/>
        <w:rPr/>
      </w:pPr>
      <w:r>
        <w:rPr/>
        <w:t xml:space="preserve">- HIPOM\STATUS_REAL, </w:t>
      </w:r>
    </w:p>
    <w:p>
      <w:pPr>
        <w:pStyle w:val="ListParagraph"/>
        <w:tabs>
          <w:tab w:val="clear" w:pos="708"/>
          <w:tab w:val="left" w:pos="993" w:leader="none"/>
        </w:tabs>
        <w:ind w:left="360"/>
        <w:rPr/>
      </w:pPr>
      <w:r>
        <w:rPr/>
        <w:t>- HIPOM\RODZAJ_PODPISU.</w:t>
      </w:r>
    </w:p>
    <w:p>
      <w:pPr>
        <w:pStyle w:val="ListParagraph"/>
        <w:numPr>
          <w:ilvl w:val="0"/>
          <w:numId w:val="87"/>
        </w:numPr>
        <w:tabs>
          <w:tab w:val="clear" w:pos="708"/>
          <w:tab w:val="left" w:pos="993" w:leader="none"/>
        </w:tabs>
        <w:spacing w:lineRule="auto" w:line="259" w:before="0" w:after="160"/>
        <w:contextualSpacing/>
        <w:jc w:val="both"/>
        <w:rPr/>
      </w:pPr>
      <w:r>
        <w:rPr/>
        <w:t>Weryfikacja konfiguracji słowników medycznych: klasyfikacji chorób wg ICD10, procedur wg ICD9.</w:t>
      </w:r>
    </w:p>
    <w:p>
      <w:pPr>
        <w:pStyle w:val="Normal"/>
        <w:tabs>
          <w:tab w:val="clear" w:pos="708"/>
          <w:tab w:val="left" w:pos="993" w:leader="none"/>
        </w:tabs>
        <w:spacing w:before="0" w:after="0"/>
        <w:ind w:left="1428"/>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79"/>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78"/>
        </w:numPr>
        <w:tabs>
          <w:tab w:val="clear" w:pos="708"/>
          <w:tab w:val="left" w:pos="993" w:leader="none"/>
        </w:tabs>
        <w:spacing w:lineRule="auto" w:line="259" w:before="0" w:after="160"/>
        <w:contextualSpacing/>
        <w:jc w:val="both"/>
        <w:rPr/>
      </w:pPr>
      <w:r>
        <w:rPr/>
        <w:t>Wgranie licencji – OK_IPOM.</w:t>
      </w:r>
    </w:p>
    <w:p>
      <w:pPr>
        <w:pStyle w:val="ListParagraph"/>
        <w:numPr>
          <w:ilvl w:val="0"/>
          <w:numId w:val="78"/>
        </w:numPr>
        <w:tabs>
          <w:tab w:val="clear" w:pos="708"/>
          <w:tab w:val="left" w:pos="993" w:leader="none"/>
        </w:tabs>
        <w:spacing w:lineRule="auto" w:line="259" w:before="0" w:after="160"/>
        <w:contextualSpacing/>
        <w:jc w:val="both"/>
        <w:rPr/>
      </w:pPr>
      <w:r>
        <w:rPr/>
        <w:t xml:space="preserve"> </w:t>
      </w:r>
      <w:r>
        <w:rPr/>
        <w:t>Szkolenie i konsultacje na stanowiskach</w:t>
      </w:r>
    </w:p>
    <w:p>
      <w:pPr>
        <w:pStyle w:val="Normal"/>
        <w:spacing w:lineRule="auto" w:line="240"/>
        <w:ind w:left="720"/>
        <w:jc w:val="center"/>
        <w:rPr>
          <w:rFonts w:ascii="Aptos" w:hAnsi="Aptos" w:eastAsia="Aptos" w:cs="Aptos"/>
          <w:b/>
          <w:bCs/>
          <w:color w:val="00B0F0"/>
          <w:sz w:val="32"/>
          <w:szCs w:val="32"/>
        </w:rPr>
      </w:pPr>
      <w:r>
        <w:rPr>
          <w:rFonts w:eastAsia="Aptos" w:cs="Aptos" w:ascii="Aptos" w:hAnsi="Aptos"/>
          <w:b/>
          <w:bCs/>
          <w:color w:val="00B0F0"/>
          <w:sz w:val="32"/>
          <w:szCs w:val="32"/>
        </w:rPr>
        <w:t>6.Serwer Integracji</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funkcjonalne</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96"/>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zapewniać funkcjonalność rozliczalności, umożliwiającą monitorowanie i rejestrowanie użytkowania integracji przez poszczególne systemy zewnętrzne.</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posiadać udokumentowany interfejs komunikacyjny oparty na standardzie HL7 Messaging, zgodny z profilem integracyjnym systemu HIS, opisanym w dokumentacji dostawcy HIS.</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posiadać udokumentowany interfejs komunikacyjny typu REST, zgodny z profilem integracyjnym systemu HIS, opisanym w dokumentacji dostawcy HIS.</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 xml:space="preserve">System musi umożliwiać konfigurację zakresu przesyłanych danych w ramach integracji HL7 Messaging. Konfiguracja powinna być możliwa na poziomie parametrów konfiguracyjnych Systemu. </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umożliwiać tworzenie wariantów istniejących integracji HL7 Messaging za pomocą graficznego interfejsu użytkownika, w zakresie dostosowania zawartości komunikatów w ramach zdefiniowanego modelu integracyjnego zgodnego z profilem integracyjnym systemu HIS, opisanym w dokumentacji dostawcy HIS, w tym z możliwością uzupełniania danych z REST API Serwera Integracji, bez konieczności modyfikacji kodu źródłowego.</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zapewniać mechanizmy monitorowania i diagnostyki aplikacji dostarczających usługi integracyjne, w tym rejestrowanie zdarzeń, powiadamianie o błędach oraz udostępniać dane na potrzeby analizy diagnostycznej.</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wspierać przekazywanie dokumentów elektronicznych w ramach integracji.</w:t>
      </w:r>
    </w:p>
    <w:p>
      <w:pPr>
        <w:pStyle w:val="ListParagraph"/>
        <w:numPr>
          <w:ilvl w:val="1"/>
          <w:numId w:val="96"/>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umożliwiać instalację i działanie w środowiskach operacyjnych Windows oraz Linux, przy zachowaniu pełnej funkcjonalności.</w:t>
      </w:r>
    </w:p>
    <w:p>
      <w:pPr>
        <w:pStyle w:val="ListParagraph"/>
        <w:tabs>
          <w:tab w:val="clear" w:pos="708"/>
          <w:tab w:val="left" w:pos="993" w:leader="none"/>
        </w:tabs>
        <w:spacing w:before="0" w:after="120"/>
        <w:ind w:left="1066"/>
        <w:contextualSpacing/>
        <w:jc w:val="both"/>
        <w:rPr>
          <w:rFonts w:ascii="Aptos" w:hAnsi="Aptos" w:eastAsia="Aptos" w:cs="Aptos"/>
          <w:color w:themeColor="text1" w:val="000000"/>
        </w:rPr>
      </w:pPr>
      <w:r>
        <w:rPr>
          <w:rFonts w:eastAsia="Aptos" w:cs="Aptos" w:ascii="Aptos" w:hAnsi="Aptos"/>
          <w:color w:themeColor="text1" w:val="000000"/>
        </w:rPr>
        <w:br/>
      </w:r>
    </w:p>
    <w:p>
      <w:pPr>
        <w:pStyle w:val="ListParagraph"/>
        <w:numPr>
          <w:ilvl w:val="0"/>
          <w:numId w:val="9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Integracje wewnętrzne oraz zależności między modułami:</w:t>
      </w:r>
    </w:p>
    <w:p>
      <w:pPr>
        <w:pStyle w:val="ListParagraph"/>
        <w:numPr>
          <w:ilvl w:val="1"/>
          <w:numId w:val="9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HIS</w:t>
      </w:r>
      <w:r>
        <w:rPr>
          <w:rFonts w:eastAsia="Aptos" w:cs="Aptos" w:ascii="Aptos" w:hAnsi="Aptos"/>
          <w:color w:themeColor="text1" w:val="000000"/>
        </w:rPr>
        <w:t xml:space="preserve"> – wymagany system HIS jako źródło danych, skonfigurowany w zakresie merytorycznym integrowanych obszarów.</w:t>
      </w:r>
    </w:p>
    <w:p>
      <w:pPr>
        <w:pStyle w:val="ListParagraph"/>
        <w:numPr>
          <w:ilvl w:val="1"/>
          <w:numId w:val="9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Wymagana jest integracja z Repozytorium </w:t>
      </w:r>
      <w:r>
        <w:rPr>
          <w:rFonts w:eastAsia="Aptos" w:cs="Aptos" w:ascii="Aptos" w:hAnsi="Aptos"/>
          <w:b/>
          <w:bCs/>
          <w:color w:themeColor="text1" w:val="000000"/>
        </w:rPr>
        <w:t>EDM</w:t>
      </w:r>
      <w:r>
        <w:rPr>
          <w:rFonts w:eastAsia="Aptos" w:cs="Aptos" w:ascii="Aptos" w:hAnsi="Aptos"/>
          <w:color w:themeColor="text1" w:val="000000"/>
        </w:rPr>
        <w:t>, realizowana poprzez dedykowany interfejs EDM, zapewniający rejestrację dokumentów w systemie EDM.</w:t>
      </w:r>
    </w:p>
    <w:p>
      <w:pPr>
        <w:pStyle w:val="ListParagraph"/>
        <w:numPr>
          <w:ilvl w:val="1"/>
          <w:numId w:val="9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Wymagany jest system monitorujący działanie HIS, który zapewnia funkcjonalność monitoringu Serwera Integracji poprzez prezentację metryk wytwarzanych przez jego komponenty w formacie Prometheus.</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left="36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rejestrował dane o użytkowaniu integracji przez poszczególne systemy zewnętrzne, w tym informacje o wywołanych interfejsów integracyjnych z uwzględnieniem:</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identyfikatora systemu zewnętrznego,</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rodzaju i czasu wykonanej operacji,</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danych wywołania,</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informacji o powodzeniu lub błędzie operacji.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Zostanie udostępniona dokumentacja techniczna interfejsu HL7, zawierająca:</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listę obsługiwanych typów komunikatów (np. ORM, ORU),</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strukturę pól dla każdego komunikatu,</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format i sposób transmisji (np. MLLP),</w:t>
      </w:r>
    </w:p>
    <w:p>
      <w:pPr>
        <w:pStyle w:val="ListParagraph"/>
        <w:numPr>
          <w:ilvl w:val="1"/>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mapowanie danych względem systemu HIS.</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obsługiwał komunikaty HL7 Messaging zgodnie z profilem integracyjnym systemu HIS, opisanym w dokumentacji dostawcy HIS, co zostanie potwierdzone testami z wykorzystaniem istniejących, wdrożonych integracji z systemami zewnętrznymi.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udostępniał dane zgodnie z profilem integracyjnym systemu HIS poprzez interfejs REST, zgodny z dokumentacją dostawcy HIS. Serwer Integracji dostarcza dane w formacie zgodnym z wymaganiami HIS, umożliwiając ich wykorzystanie przez dostawców integracji do realizacji połączenia z systemem HIS. Zgodność interfejsu zostanie potwierdzona testami opartymi na udostępnionej specyfikacji.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realizował logikę generowania komunikatów HL7 Messaging w oparciu o ustawienia parametrów systemu HIS, określających zakres danych przesyłanych w komunikatach. Zmiany tych ustawień będą wpływać na treść komunikatów, a obsługiwany zakres danych będzie zgodny z profilem integracyjnym opisanym w dokumentacji dostawcy systemu HIS.</w:t>
      </w:r>
    </w:p>
    <w:p>
      <w:pPr>
        <w:pStyle w:val="ListParagrap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sz w:val="28"/>
          <w:szCs w:val="28"/>
        </w:rPr>
      </w:pPr>
      <w:r>
        <w:rPr>
          <w:rFonts w:eastAsia="Aptos" w:cs="Aptos" w:ascii="Aptos" w:hAnsi="Aptos"/>
          <w:color w:themeColor="text1" w:val="000000"/>
        </w:rPr>
        <w:t>Będzie wytwarzał metryki diagnostyczne w formacie zgodnym z Prometheus, obejmujące informacje o zdarzeniach oraz błędach związanych z działaniem aplikacji integracyjnych. Metryki będą gromadzone i przechowywane przez mechanizm monitoringu oparty na Prometheus, natomiast analiza, wizualizacja oraz konfiguracja powiadomień będą realizowane z wykorzystaniem oprogramowania Grafana.</w:t>
      </w:r>
    </w:p>
    <w:p>
      <w:pPr>
        <w:pStyle w:val="ListParagrap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3"/>
        </w:numPr>
        <w:tabs>
          <w:tab w:val="clear" w:pos="708"/>
          <w:tab w:val="left" w:pos="993" w:leader="none"/>
        </w:tabs>
        <w:spacing w:lineRule="auto" w:line="259" w:before="0" w:after="160"/>
        <w:contextualSpacing/>
        <w:jc w:val="both"/>
        <w:rPr>
          <w:rFonts w:ascii="Aptos" w:hAnsi="Aptos" w:eastAsia="Aptos" w:cs="Aptos"/>
          <w:color w:themeColor="text1" w:val="000000"/>
          <w:sz w:val="28"/>
          <w:szCs w:val="28"/>
        </w:rPr>
      </w:pPr>
      <w:r>
        <w:rPr>
          <w:rFonts w:eastAsia="Aptos" w:cs="Aptos" w:ascii="Aptos" w:hAnsi="Aptos"/>
          <w:color w:themeColor="text1" w:val="000000"/>
        </w:rPr>
        <w:t xml:space="preserve">Będzie dostarczał kompletne komponenty aplikacyjne w postaci obrazów kontenerowych zgodnych z Docker, umożliwiających instalację i działanie systemu w środowiskach operacyjnych Windows oraz Linux, </w:t>
      </w:r>
      <w:r>
        <w:rPr>
          <w:rFonts w:eastAsia="Aptos" w:cs="Aptos" w:ascii="Aptos" w:hAnsi="Aptos"/>
          <w:b/>
          <w:bCs/>
          <w:color w:themeColor="text1" w:val="000000"/>
        </w:rPr>
        <w:t>o ile zapewnione jest zgodne środowisko uruchomieniowe kontenerów Docker</w:t>
      </w:r>
      <w:r>
        <w:rPr>
          <w:rFonts w:eastAsia="Aptos" w:cs="Aptos" w:ascii="Aptos" w:hAnsi="Aptos"/>
          <w:color w:themeColor="text1" w:val="000000"/>
        </w:rPr>
        <w:t>, przy zachowaniu pełnej funkcjonalności.</w:t>
      </w:r>
    </w:p>
    <w:p>
      <w:pPr>
        <w:pStyle w:val="ListParagraph"/>
        <w:tabs>
          <w:tab w:val="clear" w:pos="708"/>
          <w:tab w:val="left" w:pos="993" w:leader="none"/>
        </w:tabs>
        <w:jc w:val="both"/>
        <w:rPr>
          <w:rFonts w:ascii="Aptos" w:hAnsi="Aptos" w:eastAsia="Aptos" w:cs="Aptos"/>
          <w:color w:themeColor="text1" w:val="000000"/>
          <w:sz w:val="28"/>
          <w:szCs w:val="28"/>
        </w:rPr>
      </w:pPr>
      <w:r>
        <w:rPr>
          <w:rFonts w:eastAsia="Aptos" w:cs="Aptos" w:ascii="Aptos" w:hAnsi="Aptos"/>
          <w:color w:themeColor="text1" w:val="000000"/>
          <w:sz w:val="28"/>
          <w:szCs w:val="28"/>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9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Licencja</w:t>
      </w:r>
    </w:p>
    <w:p>
      <w:pPr>
        <w:pStyle w:val="ListParagraph"/>
        <w:numPr>
          <w:ilvl w:val="1"/>
          <w:numId w:val="9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Licencje na produkty integracyjne dla integrowanych Systemów Zewnętrznych</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i skonfigurowany system HIS w zakresie obszarów objętych integracją.</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system EDM (jeśli wymagany w scenariuszu integracyjnym), z aktywnym interfejsem EDM.</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system MONITORING.</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Uruchomione Systemy Zewnętrzne i skonfigurowane do integracji.</w:t>
      </w:r>
    </w:p>
    <w:p>
      <w:pPr>
        <w:pStyle w:val="Normal"/>
        <w:tabs>
          <w:tab w:val="clear" w:pos="708"/>
          <w:tab w:val="left" w:pos="993" w:leader="none"/>
        </w:tabs>
        <w:spacing w:lineRule="auto" w:line="240" w:before="0" w:after="0"/>
        <w:ind w:left="1080"/>
        <w:jc w:val="both"/>
        <w:rPr>
          <w:rFonts w:ascii="Aptos" w:hAnsi="Aptos" w:eastAsia="Aptos" w:cs="Aptos"/>
          <w:color w:themeColor="text1" w:val="000000"/>
        </w:rPr>
      </w:pPr>
      <w:r>
        <w:rPr>
          <w:rFonts w:eastAsia="Aptos" w:cs="Aptos" w:ascii="Aptos" w:hAnsi="Aptos"/>
          <w:color w:themeColor="text1" w:val="000000"/>
        </w:rPr>
        <w:br/>
      </w:r>
    </w:p>
    <w:p>
      <w:pPr>
        <w:pStyle w:val="ListParagraph"/>
        <w:numPr>
          <w:ilvl w:val="0"/>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Środowisko uruchomieniowe z obsługą kontenerów Docker (Linux/Windows).</w:t>
      </w:r>
    </w:p>
    <w:p>
      <w:pPr>
        <w:pStyle w:val="ListParagraph"/>
        <w:numPr>
          <w:ilvl w:val="1"/>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Zainstalowany i skonfigurowany Docker oraz Docker Compose.</w:t>
      </w:r>
    </w:p>
    <w:p>
      <w:pPr>
        <w:pStyle w:val="ListParagraph"/>
        <w:numPr>
          <w:ilvl w:val="1"/>
          <w:numId w:val="9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Udrożniony dostęp sieciowy z i do środowiska Serwera Integracji do systemu HIS, EDM oraz Systemów zewnętrznych podlegających integracji (np. RIS, LIS), umożliwiający dwukierunkową komunikację integracyjną</w:t>
      </w:r>
    </w:p>
    <w:p>
      <w:pPr>
        <w:pStyle w:val="ListParagraph"/>
        <w:numPr>
          <w:ilvl w:val="1"/>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Możliwość uruchamiania procesów z uprawnieniami administratora systemu operacyjnego.</w:t>
      </w:r>
    </w:p>
    <w:p>
      <w:pPr>
        <w:pStyle w:val="ListParagraph"/>
        <w:numPr>
          <w:ilvl w:val="1"/>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Dostęp do konfiguracji parametrów integracji (pliki .env, docker-compose.yml).</w:t>
      </w:r>
    </w:p>
    <w:p>
      <w:pPr>
        <w:pStyle w:val="ListParagraph"/>
        <w:numPr>
          <w:ilvl w:val="1"/>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Dostępne zasoby sprzętowe zgodnie z kalkulacją:</w:t>
      </w:r>
    </w:p>
    <w:p>
      <w:pPr>
        <w:pStyle w:val="ListParagraph"/>
        <w:tabs>
          <w:tab w:val="clear" w:pos="708"/>
          <w:tab w:val="left" w:pos="993" w:leader="none"/>
        </w:tabs>
        <w:ind w:left="1440"/>
        <w:jc w:val="both"/>
        <w:rPr>
          <w:rFonts w:ascii="Aptos" w:hAnsi="Aptos" w:eastAsia="Aptos" w:cs="Aptos"/>
          <w:color w:themeColor="text1" w:val="000000"/>
        </w:rPr>
      </w:pPr>
      <w:r>
        <w:rPr>
          <w:rFonts w:eastAsia="Aptos" w:cs="Aptos" w:ascii="Aptos" w:hAnsi="Aptos"/>
          <w:color w:themeColor="text1" w:val="000000"/>
        </w:rPr>
      </w:r>
    </w:p>
    <w:tbl>
      <w:tblPr>
        <w:tblW w:w="8703"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1790"/>
        <w:gridCol w:w="1840"/>
        <w:gridCol w:w="688"/>
        <w:gridCol w:w="821"/>
        <w:gridCol w:w="984"/>
        <w:gridCol w:w="2580"/>
      </w:tblGrid>
      <w:tr>
        <w:trPr>
          <w:trHeight w:val="315" w:hRule="atLeast"/>
        </w:trPr>
        <w:tc>
          <w:tcPr>
            <w:tcW w:w="1790" w:type="dxa"/>
            <w:tcBorders>
              <w:top w:val="single" w:sz="8" w:space="0" w:color="000000"/>
              <w:left w:val="single" w:sz="8" w:space="0" w:color="000000"/>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produkt</w:t>
            </w:r>
          </w:p>
        </w:tc>
        <w:tc>
          <w:tcPr>
            <w:tcW w:w="1840" w:type="dxa"/>
            <w:tcBorders>
              <w:top w:val="single" w:sz="8" w:space="0" w:color="000000"/>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Komponent / Zakres</w:t>
            </w:r>
          </w:p>
        </w:tc>
        <w:tc>
          <w:tcPr>
            <w:tcW w:w="688" w:type="dxa"/>
            <w:tcBorders>
              <w:top w:val="single" w:sz="8" w:space="0" w:color="000000"/>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vCPU</w:t>
            </w:r>
          </w:p>
        </w:tc>
        <w:tc>
          <w:tcPr>
            <w:tcW w:w="821" w:type="dxa"/>
            <w:tcBorders>
              <w:top w:val="single" w:sz="8" w:space="0" w:color="000000"/>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RAM</w:t>
            </w:r>
          </w:p>
        </w:tc>
        <w:tc>
          <w:tcPr>
            <w:tcW w:w="984" w:type="dxa"/>
            <w:tcBorders>
              <w:top w:val="single" w:sz="8" w:space="0" w:color="000000"/>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DSK [GB]</w:t>
            </w:r>
          </w:p>
        </w:tc>
        <w:tc>
          <w:tcPr>
            <w:tcW w:w="2580" w:type="dxa"/>
            <w:tcBorders>
              <w:top w:val="single" w:sz="8" w:space="0" w:color="000000"/>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Uwagi</w:t>
            </w:r>
          </w:p>
        </w:tc>
      </w:tr>
      <w:tr>
        <w:trPr>
          <w:trHeight w:val="825" w:hRule="atLeast"/>
        </w:trPr>
        <w:tc>
          <w:tcPr>
            <w:tcW w:w="1790" w:type="dxa"/>
            <w:vMerge w:val="restart"/>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Serwer integracyjny</w:t>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Aplikacja SI + komponenty infrastruktury</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40</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Minimum bazowe</w:t>
            </w:r>
          </w:p>
        </w:tc>
      </w:tr>
      <w:tr>
        <w:trPr>
          <w:trHeight w:val="31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HL7 – do 5 integracji</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1.5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82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HL7 – do 10 integracji</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Kwestia do uwzględnienia, w przypadku liczby integracji HL7 większej niż 5.</w:t>
            </w:r>
          </w:p>
        </w:tc>
      </w:tr>
      <w:tr>
        <w:trPr>
          <w:trHeight w:val="55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do 10 komponentów Integracyjnych SI</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16</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24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109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Komponenty SI – każde kolejne 10 - wzrost liniowy</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16</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+24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Kwestia do uwzględnienia, w przypadku liczby komponentów SI większej niż 10.</w:t>
            </w:r>
          </w:p>
        </w:tc>
      </w:tr>
      <w:tr>
        <w:trPr>
          <w:trHeight w:val="55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Mechanizmy logowania</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8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300</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55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Mechanizmy monitoringu</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6</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8 GB</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31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Karta sieciowa</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1 Gbit/s</w:t>
            </w:r>
          </w:p>
        </w:tc>
      </w:tr>
      <w:tr>
        <w:trPr>
          <w:trHeight w:val="825" w:hRule="atLeast"/>
        </w:trPr>
        <w:tc>
          <w:tcPr>
            <w:tcW w:w="1790" w:type="dxa"/>
            <w:vMerge w:val="continue"/>
            <w:tcBorders>
              <w:left w:val="single" w:sz="8" w:space="0" w:color="000000"/>
              <w:bottom w:val="single" w:sz="8" w:space="0" w:color="000000"/>
              <w:right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System operacyjny</w:t>
            </w:r>
          </w:p>
        </w:tc>
        <w:tc>
          <w:tcPr>
            <w:tcW w:w="688"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821"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984" w:type="dxa"/>
            <w:tcBorders>
              <w:bottom w:val="single" w:sz="8" w:space="0" w:color="000000"/>
              <w:right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2580" w:type="dxa"/>
            <w:tcBorders>
              <w:bottom w:val="single" w:sz="8" w:space="0" w:color="000000"/>
              <w:right w:val="single" w:sz="8" w:space="0" w:color="000000"/>
            </w:tcBorders>
            <w:vAlign w:val="center"/>
          </w:tcPr>
          <w:p>
            <w:pPr>
              <w:pStyle w:val="Normal"/>
              <w:spacing w:lineRule="auto" w:line="240" w:before="0" w:after="0"/>
              <w:rPr>
                <w:rFonts w:ascii="Aptos Narrow" w:hAnsi="Aptos Narrow" w:eastAsia="Times New Roman"/>
                <w:sz w:val="20"/>
                <w:szCs w:val="20"/>
                <w:lang w:val="en-US" w:eastAsia="pl-PL"/>
              </w:rPr>
            </w:pPr>
            <w:r>
              <w:rPr>
                <w:rFonts w:eastAsia="Times New Roman" w:ascii="Aptos Narrow" w:hAnsi="Aptos Narrow"/>
                <w:sz w:val="20"/>
                <w:szCs w:val="20"/>
                <w:lang w:val="en-US" w:eastAsia="pl-PL"/>
              </w:rPr>
              <w:t>Linux 64bit: Redhat EL, Suse ES, Oracle Linux, Rocky Linux (v9)</w:t>
            </w:r>
          </w:p>
        </w:tc>
      </w:tr>
    </w:tbl>
    <w:p>
      <w:pPr>
        <w:pStyle w:val="Normal"/>
        <w:tabs>
          <w:tab w:val="clear" w:pos="708"/>
          <w:tab w:val="left" w:pos="993" w:leader="none"/>
        </w:tabs>
        <w:rPr>
          <w:rFonts w:ascii="Aptos" w:hAnsi="Aptos" w:eastAsia="Aptos" w:cs="Aptos"/>
          <w:color w:themeColor="text1" w:val="000000"/>
          <w:lang w:val="en-US"/>
        </w:rPr>
      </w:pPr>
      <w:r>
        <w:rPr>
          <w:rFonts w:eastAsia="Aptos" w:cs="Aptos" w:ascii="Aptos" w:hAnsi="Aptos"/>
          <w:color w:themeColor="text1" w:val="000000"/>
          <w:lang w:val="en-US"/>
        </w:rPr>
      </w:r>
    </w:p>
    <w:p>
      <w:pPr>
        <w:pStyle w:val="ListParagraph"/>
        <w:numPr>
          <w:ilvl w:val="0"/>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tabs>
          <w:tab w:val="clear" w:pos="708"/>
          <w:tab w:val="left" w:pos="993" w:leader="none"/>
        </w:tabs>
        <w:ind w:left="36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Przygotowanie środowiska i instalacja komponentów Serwera Integracji oraz zapewnienie powyższych warunków Startowych i spełnienie Wymagań Technicznych.</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Wyznaczenie osoby po stronie Jednostki odpowiedzialnej merytorycznie z zakres Integracji oraz osoby Administratora Systemu w Jednostce.</w:t>
      </w:r>
    </w:p>
    <w:p>
      <w:pPr>
        <w:pStyle w:val="ListParagraph"/>
        <w:tabs>
          <w:tab w:val="clear" w:pos="708"/>
          <w:tab w:val="left" w:pos="993" w:leader="none"/>
        </w:tabs>
        <w:spacing w:lineRule="auto" w:line="240" w:before="0" w:after="0"/>
        <w:ind w:left="1440"/>
        <w:contextualSpacing/>
        <w:jc w:val="both"/>
        <w:rPr>
          <w:rFonts w:ascii="Aptos" w:hAnsi="Aptos" w:eastAsia="Aptos" w:cs="Aptos"/>
          <w:color w:themeColor="text1" w:val="000000"/>
        </w:rPr>
      </w:pPr>
      <w:r>
        <w:rPr/>
        <w:br/>
      </w:r>
    </w:p>
    <w:p>
      <w:pPr>
        <w:pStyle w:val="ListParagraph"/>
        <w:tabs>
          <w:tab w:val="clear" w:pos="708"/>
          <w:tab w:val="left" w:pos="993" w:leader="none"/>
        </w:tabs>
        <w:spacing w:lineRule="auto" w:line="240" w:before="0" w:after="0"/>
        <w:ind w:lef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rPr/>
      </w:pPr>
      <w:r>
        <w:rPr/>
        <w:t>Wdrożeni kończy się na instalacji systemu.</w:t>
      </w:r>
    </w:p>
    <w:p>
      <w:pPr>
        <w:pStyle w:val="Normal"/>
        <w:rPr/>
      </w:pPr>
      <w:r>
        <w:rPr/>
      </w:r>
    </w:p>
    <w:p>
      <w:pPr>
        <w:pStyle w:val="Normal"/>
        <w:tabs>
          <w:tab w:val="clear" w:pos="708"/>
          <w:tab w:val="left" w:pos="993" w:leader="none"/>
        </w:tabs>
        <w:jc w:val="center"/>
        <w:rPr/>
      </w:pPr>
      <w:r>
        <w:rPr>
          <w:rFonts w:eastAsia="Aptos" w:cs="Aptos" w:ascii="Aptos" w:hAnsi="Aptos"/>
          <w:b/>
          <w:bCs/>
          <w:color w:val="00B0F0"/>
          <w:sz w:val="32"/>
          <w:szCs w:val="32"/>
        </w:rPr>
        <w:t>7.Diety indywidualne - Rozszerzona funkcjonalność zleceń diet</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jc w:val="both"/>
        <w:rPr/>
      </w:pPr>
      <w:r>
        <w:rPr/>
        <w:t xml:space="preserve">Funkcjonalność zlecenia diet oraz podania posiłku dostępna jest z poziomu danych pobytu pacjenta na Oddziale. </w:t>
      </w:r>
    </w:p>
    <w:p>
      <w:pPr>
        <w:pStyle w:val="Normal"/>
        <w:tabs>
          <w:tab w:val="clear" w:pos="708"/>
          <w:tab w:val="left" w:pos="993" w:leader="none"/>
        </w:tabs>
        <w:jc w:val="both"/>
        <w:rPr/>
      </w:pPr>
      <w:r>
        <w:rPr/>
        <w:t>Funkcjonalność zapotrzebowania żywnościowego dostępna jest z poziomu modułu Oddział jako odrębny widok wywoływany bezpośrednio z głównego ekranu modułu Oddział.</w:t>
      </w:r>
    </w:p>
    <w:p>
      <w:pPr>
        <w:pStyle w:val="Normal"/>
        <w:tabs>
          <w:tab w:val="clear" w:pos="708"/>
          <w:tab w:val="left" w:pos="993" w:leader="none"/>
        </w:tabs>
        <w:jc w:val="both"/>
        <w:rPr/>
      </w:pPr>
      <w:r>
        <w:rPr/>
        <w:t>Rozszerzenie dotyczy zleceń diet oraz okna dodania diety (‘Podanie posiłku/Dieta)  w ramach danego    pobytu pacjenta na oddziale oraz  funkcjonalności  ‘Zapotrzebowanie żywnościowe’.</w:t>
      </w:r>
    </w:p>
    <w:p>
      <w:pPr>
        <w:pStyle w:val="Normal"/>
        <w:tabs>
          <w:tab w:val="clear" w:pos="708"/>
          <w:tab w:val="left" w:pos="993" w:leader="none"/>
        </w:tabs>
        <w:jc w:val="both"/>
        <w:rPr/>
      </w:pPr>
      <w:r>
        <w:rPr/>
        <w:t>Funkcjonalność obejmuje:</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Konfigurację diet jako elementy leczenia </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Ewidencję zlecenia diet z możliwością określenia modyfikacji danej diety dla konkretnej grupy pacjentów </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Ewidencję dodania diet z możliwością określenia modyfikacji danej diety dla konkretnej grupy pacjentów </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Widok zapotrzebowania żywnościowego z możliwością wprowadzenia uwag do zapotrzebowania w danym dniu </w:t>
      </w:r>
    </w:p>
    <w:p>
      <w:pPr>
        <w:pStyle w:val="ListParagraph"/>
        <w:tabs>
          <w:tab w:val="clear" w:pos="708"/>
          <w:tab w:val="left" w:pos="993" w:leader="none"/>
        </w:tabs>
        <w:spacing w:lineRule="auto" w:line="240" w:before="0" w:after="0"/>
        <w:ind w:left="1440"/>
        <w:contextualSpacing/>
        <w:jc w:val="both"/>
        <w:rPr>
          <w:rFonts w:ascii="Aptos" w:hAnsi="Aptos" w:eastAsia="Aptos" w:cs="Aptos"/>
          <w:color w:themeColor="text1" w:val="000000"/>
        </w:rPr>
      </w:pPr>
      <w:r>
        <w:rPr>
          <w:rFonts w:eastAsia="Aptos" w:cs="Aptos" w:ascii="Aptos" w:hAnsi="Aptos"/>
          <w:color w:themeColor="text1" w:val="000000"/>
        </w:rPr>
      </w:r>
    </w:p>
    <w:p>
      <w:pPr>
        <w:pStyle w:val="Normal"/>
        <w:rPr/>
      </w:pPr>
      <w:r>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pPr>
      <w:r>
        <w:rPr/>
        <w:t>Wdrożenie polega na zainstalowaniu i skonfigurowaniu systemu.</w:t>
      </w:r>
    </w:p>
    <w:p>
      <w:pPr>
        <w:pStyle w:val="Normal"/>
        <w:rPr/>
      </w:pPr>
      <w:r>
        <w:rPr/>
      </w:r>
    </w:p>
    <w:p>
      <w:pPr>
        <w:pStyle w:val="Normal"/>
        <w:tabs>
          <w:tab w:val="clear" w:pos="708"/>
          <w:tab w:val="left" w:pos="993" w:leader="none"/>
        </w:tabs>
        <w:jc w:val="center"/>
        <w:rPr>
          <w:rFonts w:ascii="Aptos" w:hAnsi="Aptos" w:eastAsia="Aptos" w:cs="Aptos"/>
          <w:b/>
          <w:bCs/>
          <w:color w:val="00B0F0"/>
          <w:sz w:val="32"/>
          <w:szCs w:val="32"/>
        </w:rPr>
      </w:pPr>
      <w:r>
        <w:rPr>
          <w:rFonts w:eastAsia="Aptos" w:cs="Aptos" w:ascii="Aptos" w:hAnsi="Aptos"/>
          <w:b/>
          <w:bCs/>
          <w:color w:val="00B0F0"/>
          <w:sz w:val="32"/>
          <w:szCs w:val="32"/>
        </w:rPr>
        <w:t>8.Kwalifikacje do szczepień i szczepienia  - Karta Uodpornień i integracja z e-Kartą szczepień w P1</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rPr>
          <w:rFonts w:ascii="Aptos" w:hAnsi="Aptos"/>
        </w:rPr>
      </w:pPr>
      <w:r>
        <w:rPr>
          <w:rFonts w:ascii="Aptos" w:hAnsi="Aptos"/>
        </w:rPr>
        <w:t>Produkt umożliwia:</w:t>
      </w:r>
    </w:p>
    <w:p>
      <w:pPr>
        <w:pStyle w:val="Normal"/>
        <w:rPr>
          <w:rFonts w:ascii="Aptos" w:hAnsi="Aptos"/>
        </w:rPr>
      </w:pPr>
      <w:r>
        <w:rPr>
          <w:rFonts w:ascii="Aptos" w:hAnsi="Aptos"/>
        </w:rPr>
        <w:t xml:space="preserve">a. Dostęp do ewidencji szczepień z wizyty w module </w:t>
      </w:r>
      <w:r>
        <w:rPr>
          <w:rFonts w:ascii="Aptos" w:hAnsi="Aptos"/>
          <w:i/>
          <w:iCs/>
        </w:rPr>
        <w:t>AMMS-Gabinet</w:t>
      </w:r>
      <w:r>
        <w:rPr>
          <w:rFonts w:ascii="Aptos" w:hAnsi="Aptos"/>
        </w:rPr>
        <w:t>;</w:t>
      </w:r>
    </w:p>
    <w:p>
      <w:pPr>
        <w:pStyle w:val="Normal"/>
        <w:rPr>
          <w:rFonts w:ascii="Aptos" w:hAnsi="Aptos"/>
        </w:rPr>
      </w:pPr>
      <w:r>
        <w:rPr>
          <w:rFonts w:ascii="Aptos" w:hAnsi="Aptos"/>
        </w:rPr>
        <w:t>b. Zapis szczepienia powiązanego z ewidencją podania leku i odnotowaniem powiązanej procedury;</w:t>
      </w:r>
    </w:p>
    <w:p>
      <w:pPr>
        <w:pStyle w:val="Normal"/>
        <w:rPr>
          <w:rFonts w:ascii="Aptos" w:hAnsi="Aptos"/>
        </w:rPr>
      </w:pPr>
      <w:r>
        <w:rPr>
          <w:rFonts w:ascii="Aptos" w:hAnsi="Aptos"/>
        </w:rPr>
        <w:t>c. Możliwość złożenia podpisu indywidualnego przez lekarza potwierdzającego wykonanie szczepienia i przekazanie danych szczepienia, podania leku, procedury ICD-9 w celu odnotowania wpisu w Elektronicznej Karcie Szczepień prowadzonej w ramach Zdarzeń Medycznych w systemie P1;</w:t>
      </w:r>
    </w:p>
    <w:p>
      <w:pPr>
        <w:pStyle w:val="Normal"/>
        <w:rPr>
          <w:rFonts w:ascii="Aptos" w:hAnsi="Aptos"/>
        </w:rPr>
      </w:pPr>
      <w:r>
        <w:rPr>
          <w:rFonts w:ascii="Aptos" w:hAnsi="Aptos"/>
        </w:rPr>
        <w:t>c.  Ewidencja szczepienia z uwzględnieniem słowników publikowanych przez system centralny w zakresie min. źródeł finansowania, części ciała podania szczepionki, dróg podania, źródła informacji o szczepieniu oraz odnotowywanie podania leku z możliwością ograniczenia listy leków do określonych kodów ATC domyślnie ‘J07’;</w:t>
      </w:r>
    </w:p>
    <w:p>
      <w:pPr>
        <w:pStyle w:val="Normal"/>
        <w:rPr>
          <w:rFonts w:ascii="Aptos" w:hAnsi="Aptos"/>
        </w:rPr>
      </w:pPr>
      <w:r>
        <w:rPr>
          <w:rFonts w:ascii="Aptos" w:hAnsi="Aptos"/>
        </w:rPr>
        <w:t xml:space="preserve">d. Wydruk wzorca dokumentu Karty Uodpornień, zgodnej z obowiązującymi przepisami </w:t>
        <w:br/>
        <w:t>w sprawie obowiązkowych szczepień ochronnych;</w:t>
      </w:r>
    </w:p>
    <w:p>
      <w:pPr>
        <w:pStyle w:val="Normal"/>
        <w:rPr>
          <w:rFonts w:ascii="Aptos" w:hAnsi="Aptos"/>
        </w:rPr>
      </w:pPr>
      <w:r>
        <w:rPr>
          <w:rFonts w:ascii="Aptos" w:hAnsi="Aptos"/>
        </w:rPr>
        <w:t>e. Generowanie listy wymaganych szczepień obowiązkowych, na podstawie planu obowiązkowych szczepień i utworzenie Karty Uodpornienia dostępnej w systemie lokalnym podmiotu medycznego;</w:t>
      </w:r>
    </w:p>
    <w:p>
      <w:pPr>
        <w:pStyle w:val="Normal"/>
        <w:rPr>
          <w:rFonts w:ascii="Aptos" w:hAnsi="Aptos"/>
        </w:rPr>
      </w:pPr>
      <w:r>
        <w:rPr>
          <w:rFonts w:ascii="Aptos" w:hAnsi="Aptos"/>
        </w:rPr>
        <w:t xml:space="preserve">f.  Udostępnienie Rejestru Podań Szczepień w module </w:t>
      </w:r>
      <w:r>
        <w:rPr>
          <w:rFonts w:ascii="Aptos" w:hAnsi="Aptos"/>
          <w:i/>
          <w:iCs/>
        </w:rPr>
        <w:t>AMMS-Gabinet</w:t>
      </w:r>
      <w:r>
        <w:rPr>
          <w:rFonts w:ascii="Aptos" w:hAnsi="Aptos"/>
        </w:rPr>
        <w:t xml:space="preserve"> z przejściem do szczegółów wykonanego, bieżącego szczepienia oraz możliwością grupowego podpisu wykonanych szczepień, wymagających wpisu w Elektronicznej Karcie Szczepień;</w:t>
      </w:r>
    </w:p>
    <w:p>
      <w:pPr>
        <w:pStyle w:val="Normal"/>
        <w:rPr>
          <w:rFonts w:ascii="Aptos" w:hAnsi="Aptos" w:eastAsia="Aptos" w:cs="Aptos"/>
          <w:color w:themeColor="text1" w:val="000000"/>
        </w:rPr>
      </w:pPr>
      <w:r>
        <w:rPr>
          <w:rFonts w:ascii="Aptos" w:hAnsi="Aptos"/>
        </w:rPr>
        <w:t xml:space="preserve">g. </w:t>
      </w:r>
      <w:r>
        <w:rPr>
          <w:rFonts w:eastAsia="Aptos" w:cs="Aptos" w:ascii="Aptos" w:hAnsi="Aptos"/>
          <w:color w:themeColor="text1" w:val="000000"/>
        </w:rPr>
        <w:t>Wykonanie zestawień szczepień pacjentów wg. wybranych kryteriów: rodzaj szczepienia, nr dawki, płci oraz definiowanych w raporcie grup wiekowych.</w:t>
      </w:r>
    </w:p>
    <w:p>
      <w:pPr>
        <w:pStyle w:val="Normal"/>
        <w:rPr>
          <w:rFonts w:ascii="Aptos" w:hAnsi="Aptos" w:eastAsia="Aptos" w:cs="Aptos"/>
          <w:color w:themeColor="text1" w:val="000000"/>
        </w:rPr>
      </w:pPr>
      <w:r>
        <w:rPr>
          <w:rFonts w:eastAsia="Aptos" w:cs="Aptos" w:ascii="Aptos" w:hAnsi="Aptos"/>
          <w:color w:themeColor="text1" w:val="000000"/>
        </w:rPr>
        <w:t>Podstawowe funkcjonalności:</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Generowanie listy planowanych szczepień ochronnych wynikających z kalendarza szczepień; </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Wydruk Karty Uodpornień dla pacjenta;</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Dostęp dla lekarza (AMMS-Gabinet), podczas wizyty pacjenta w gabinecie, do ewidencji szczepień oraz listy zrealizowanych i planowanych szczepień;</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Ewidencja szczegółów wykonanego szczepienia, podpis i przekazanie w zdarzeniach medycznych zasobu szczepienia w celu zasilenia Elektronicznej Karty Szczepień;</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Rejestr wykonanych szczepień bieżących;</w:t>
      </w:r>
    </w:p>
    <w:p>
      <w:pPr>
        <w:pStyle w:val="ListParagraph"/>
        <w:numPr>
          <w:ilvl w:val="1"/>
          <w:numId w:val="91"/>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Zestawienia wykonanych szczepień (roczne i wg definiowalnych grup wiekowych).</w:t>
      </w:r>
    </w:p>
    <w:p>
      <w:pPr>
        <w:pStyle w:val="Normal"/>
        <w:rPr>
          <w:b/>
          <w:bCs/>
        </w:rPr>
      </w:pPr>
      <w:r>
        <w:rPr>
          <w:b/>
          <w:bCs/>
        </w:rPr>
      </w:r>
    </w:p>
    <w:p>
      <w:pPr>
        <w:pStyle w:val="ListParagraph"/>
        <w:tabs>
          <w:tab w:val="clear" w:pos="708"/>
          <w:tab w:val="left" w:pos="993" w:leader="none"/>
        </w:tabs>
        <w:spacing w:lineRule="auto" w:line="240" w:before="0" w:after="0"/>
        <w:ind w:lef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pPr>
      <w:r>
        <w:rPr/>
        <w:t>Wdrożenie polega na zainstalowaniu i skonfigurowaniu systemu.</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9.Ankieta Udarowa</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rPr>
          <w:b/>
          <w:bCs/>
        </w:rPr>
      </w:pPr>
      <w:r>
        <w:rPr>
          <w:b/>
          <w:bCs/>
        </w:rPr>
        <w:t>Wymagania funkcjonalne</w:t>
      </w:r>
    </w:p>
    <w:p>
      <w:pPr>
        <w:pStyle w:val="ListParagraph"/>
        <w:numPr>
          <w:ilvl w:val="0"/>
          <w:numId w:val="97"/>
        </w:numPr>
        <w:tabs>
          <w:tab w:val="clear" w:pos="708"/>
          <w:tab w:val="left" w:pos="993" w:leader="none"/>
        </w:tabs>
        <w:spacing w:lineRule="auto" w:line="259" w:before="0" w:after="160"/>
        <w:contextualSpacing/>
        <w:jc w:val="both"/>
        <w:rPr/>
      </w:pPr>
      <w:r>
        <w:rPr/>
        <w:t>System musi zapewniać ewidencję danych Ankiety udarowej:</w:t>
      </w:r>
    </w:p>
    <w:p>
      <w:pPr>
        <w:pStyle w:val="ListParagraph"/>
        <w:numPr>
          <w:ilvl w:val="1"/>
          <w:numId w:val="98"/>
        </w:numPr>
        <w:tabs>
          <w:tab w:val="clear" w:pos="708"/>
          <w:tab w:val="left" w:pos="993" w:leader="none"/>
        </w:tabs>
        <w:spacing w:lineRule="auto" w:line="259" w:before="0" w:after="160"/>
        <w:contextualSpacing/>
        <w:jc w:val="both"/>
        <w:rPr/>
      </w:pPr>
      <w:r>
        <w:rPr/>
        <w:t>Ewidencja Ankiety udarowej w 4 modelach obsługi: z trombektomią mechaniczną, bez trombektomii, z przekazaniem na trombektomię, ze skierowaniem na trombektomię przez inny szpital.</w:t>
      </w:r>
    </w:p>
    <w:p>
      <w:pPr>
        <w:pStyle w:val="ListParagraph"/>
        <w:numPr>
          <w:ilvl w:val="1"/>
          <w:numId w:val="98"/>
        </w:numPr>
        <w:tabs>
          <w:tab w:val="clear" w:pos="708"/>
          <w:tab w:val="left" w:pos="993" w:leader="none"/>
        </w:tabs>
        <w:spacing w:lineRule="auto" w:line="259" w:before="0" w:after="160"/>
        <w:contextualSpacing/>
        <w:jc w:val="both"/>
        <w:rPr/>
      </w:pPr>
      <w:r>
        <w:rPr/>
        <w:t>Podpowiadanie danych w Ankiecie udarowej dotyczących przybycia pacjenta do szpitala, badań diagnostycznych mózgu, zastosowanego leczenia, danych trombektomii mechanicznej, daty rehabilitacji, danych wypisowych w przypadku zgonu.</w:t>
      </w:r>
    </w:p>
    <w:p>
      <w:pPr>
        <w:pStyle w:val="ListParagraph"/>
        <w:numPr>
          <w:ilvl w:val="1"/>
          <w:numId w:val="98"/>
        </w:numPr>
        <w:tabs>
          <w:tab w:val="clear" w:pos="708"/>
          <w:tab w:val="left" w:pos="993" w:leader="none"/>
        </w:tabs>
        <w:spacing w:lineRule="auto" w:line="259" w:before="0" w:after="160"/>
        <w:contextualSpacing/>
        <w:jc w:val="both"/>
        <w:rPr/>
      </w:pPr>
      <w:r>
        <w:rPr/>
        <w:t>Autoryzowanie danych oraz podpisanie w postaci elektronicznej Ankiety udarowej.</w:t>
      </w:r>
    </w:p>
    <w:p>
      <w:pPr>
        <w:pStyle w:val="ListParagraph"/>
        <w:numPr>
          <w:ilvl w:val="0"/>
          <w:numId w:val="98"/>
        </w:numPr>
        <w:tabs>
          <w:tab w:val="clear" w:pos="708"/>
          <w:tab w:val="left" w:pos="993" w:leader="none"/>
        </w:tabs>
        <w:spacing w:lineRule="auto" w:line="259" w:before="0" w:after="160"/>
        <w:contextualSpacing/>
        <w:jc w:val="both"/>
        <w:rPr/>
      </w:pPr>
      <w:r>
        <w:rPr/>
        <w:t>System musi zapewniać komunikację z systemem Ankiety Medyczne (AM) prowadzonym przez NFZ:</w:t>
      </w:r>
    </w:p>
    <w:p>
      <w:pPr>
        <w:pStyle w:val="ListParagraph"/>
        <w:numPr>
          <w:ilvl w:val="1"/>
          <w:numId w:val="98"/>
        </w:numPr>
        <w:tabs>
          <w:tab w:val="clear" w:pos="708"/>
          <w:tab w:val="left" w:pos="993" w:leader="none"/>
        </w:tabs>
        <w:spacing w:lineRule="auto" w:line="259" w:before="0" w:after="160"/>
        <w:contextualSpacing/>
        <w:jc w:val="both"/>
        <w:rPr/>
      </w:pPr>
      <w:r>
        <w:rPr/>
        <w:t>Logowanie do AM, w celu uwierzytelnienia i autoryzacji.</w:t>
      </w:r>
    </w:p>
    <w:p>
      <w:pPr>
        <w:pStyle w:val="ListParagraph"/>
        <w:numPr>
          <w:ilvl w:val="1"/>
          <w:numId w:val="98"/>
        </w:numPr>
        <w:tabs>
          <w:tab w:val="clear" w:pos="708"/>
          <w:tab w:val="left" w:pos="993" w:leader="none"/>
        </w:tabs>
        <w:spacing w:lineRule="auto" w:line="259" w:before="0" w:after="160"/>
        <w:contextualSpacing/>
        <w:jc w:val="both"/>
        <w:rPr/>
      </w:pPr>
      <w:r>
        <w:rPr/>
        <w:t>Wysyłka Ankiety udarowej w wersji roboczej oraz oficjalnej.</w:t>
      </w:r>
    </w:p>
    <w:p>
      <w:pPr>
        <w:pStyle w:val="ListParagraph"/>
        <w:numPr>
          <w:ilvl w:val="1"/>
          <w:numId w:val="98"/>
        </w:numPr>
        <w:tabs>
          <w:tab w:val="clear" w:pos="708"/>
          <w:tab w:val="left" w:pos="993" w:leader="none"/>
        </w:tabs>
        <w:spacing w:lineRule="auto" w:line="259" w:before="0" w:after="160"/>
        <w:contextualSpacing/>
        <w:jc w:val="both"/>
        <w:rPr/>
      </w:pPr>
      <w:r>
        <w:rPr/>
        <w:t>Obsługa błędów z AM.</w:t>
      </w:r>
    </w:p>
    <w:p>
      <w:pPr>
        <w:pStyle w:val="ListParagraph"/>
        <w:numPr>
          <w:ilvl w:val="1"/>
          <w:numId w:val="98"/>
        </w:numPr>
        <w:tabs>
          <w:tab w:val="clear" w:pos="708"/>
          <w:tab w:val="left" w:pos="993" w:leader="none"/>
        </w:tabs>
        <w:spacing w:lineRule="auto" w:line="259" w:before="0" w:after="160"/>
        <w:contextualSpacing/>
        <w:jc w:val="both"/>
        <w:rPr/>
      </w:pPr>
      <w:r>
        <w:rPr/>
        <w:t>Wysyłka korekty Ankiety udarowej.</w:t>
      </w:r>
    </w:p>
    <w:p>
      <w:pPr>
        <w:pStyle w:val="ListParagraph"/>
        <w:numPr>
          <w:ilvl w:val="1"/>
          <w:numId w:val="98"/>
        </w:numPr>
        <w:tabs>
          <w:tab w:val="clear" w:pos="708"/>
          <w:tab w:val="left" w:pos="993" w:leader="none"/>
        </w:tabs>
        <w:spacing w:lineRule="auto" w:line="259" w:before="0" w:after="160"/>
        <w:contextualSpacing/>
        <w:jc w:val="both"/>
        <w:rPr/>
      </w:pPr>
      <w:r>
        <w:rPr/>
        <w:t>Wysyłka anulowania Ankiety udarowej do AM.</w:t>
      </w:r>
    </w:p>
    <w:p>
      <w:pPr>
        <w:pStyle w:val="ListParagraph"/>
        <w:numPr>
          <w:ilvl w:val="1"/>
          <w:numId w:val="98"/>
        </w:numPr>
        <w:tabs>
          <w:tab w:val="clear" w:pos="708"/>
          <w:tab w:val="left" w:pos="993" w:leader="none"/>
        </w:tabs>
        <w:spacing w:lineRule="auto" w:line="259" w:before="0" w:after="160"/>
        <w:contextualSpacing/>
        <w:jc w:val="both"/>
        <w:rPr/>
      </w:pPr>
      <w:r>
        <w:rPr/>
        <w:t>Wywołanie Ankiety z systemu HIS w systemie AM.</w:t>
      </w:r>
    </w:p>
    <w:p>
      <w:pPr>
        <w:pStyle w:val="Normal"/>
        <w:numPr>
          <w:ilvl w:val="0"/>
          <w:numId w:val="59"/>
        </w:numPr>
        <w:tabs>
          <w:tab w:val="clear" w:pos="708"/>
          <w:tab w:val="left" w:pos="993" w:leader="none"/>
        </w:tabs>
        <w:spacing w:lineRule="auto" w:line="259" w:before="0" w:after="160"/>
        <w:rPr/>
      </w:pPr>
      <w:r>
        <w:rPr>
          <w:b/>
          <w:bCs/>
        </w:rPr>
        <w:t>Integracje (wewnętrzne oraz zewnętrzne):</w:t>
      </w:r>
    </w:p>
    <w:p>
      <w:pPr>
        <w:pStyle w:val="ListParagraph"/>
        <w:numPr>
          <w:ilvl w:val="0"/>
          <w:numId w:val="99"/>
        </w:numPr>
        <w:tabs>
          <w:tab w:val="clear" w:pos="708"/>
          <w:tab w:val="left" w:pos="993" w:leader="none"/>
        </w:tabs>
        <w:spacing w:lineRule="auto" w:line="259" w:before="0" w:after="160"/>
        <w:contextualSpacing/>
        <w:jc w:val="both"/>
        <w:rPr/>
      </w:pPr>
      <w:r>
        <w:rPr/>
        <w:t xml:space="preserve">Wewnętrzne: </w:t>
      </w:r>
    </w:p>
    <w:p>
      <w:pPr>
        <w:pStyle w:val="ListParagraph"/>
        <w:numPr>
          <w:ilvl w:val="1"/>
          <w:numId w:val="99"/>
        </w:numPr>
        <w:tabs>
          <w:tab w:val="clear" w:pos="708"/>
          <w:tab w:val="left" w:pos="993" w:leader="none"/>
        </w:tabs>
        <w:spacing w:lineRule="auto" w:line="259" w:before="0" w:after="160"/>
        <w:contextualSpacing/>
        <w:jc w:val="both"/>
        <w:rPr/>
      </w:pPr>
      <w:r>
        <w:rPr/>
        <w:t>Brak.</w:t>
      </w:r>
    </w:p>
    <w:p>
      <w:pPr>
        <w:pStyle w:val="ListParagraph"/>
        <w:numPr>
          <w:ilvl w:val="0"/>
          <w:numId w:val="99"/>
        </w:numPr>
        <w:tabs>
          <w:tab w:val="clear" w:pos="708"/>
          <w:tab w:val="left" w:pos="993" w:leader="none"/>
        </w:tabs>
        <w:spacing w:lineRule="auto" w:line="259" w:before="0" w:after="160"/>
        <w:contextualSpacing/>
        <w:jc w:val="both"/>
        <w:rPr/>
      </w:pPr>
      <w:r>
        <w:rPr/>
        <w:t>Zewnętrzne:</w:t>
      </w:r>
    </w:p>
    <w:p>
      <w:pPr>
        <w:pStyle w:val="ListParagraph"/>
        <w:numPr>
          <w:ilvl w:val="1"/>
          <w:numId w:val="99"/>
        </w:numPr>
        <w:tabs>
          <w:tab w:val="clear" w:pos="708"/>
          <w:tab w:val="left" w:pos="993" w:leader="none"/>
        </w:tabs>
        <w:spacing w:lineRule="auto" w:line="259" w:before="0" w:after="160"/>
        <w:contextualSpacing/>
        <w:jc w:val="both"/>
        <w:rPr/>
      </w:pPr>
      <w:r>
        <w:rPr/>
        <w:t>Produkt integruje się z zewnętrznym systemem Ankiety Medyczne (AM) w celu przekazywania danych dot. leczenia pacjentów z udarem mózgu, w tym pacjentów których poddano zabiegowi trombektomii mechaniczne.</w:t>
      </w:r>
    </w:p>
    <w:p>
      <w:pPr>
        <w:pStyle w:val="ListParagraph"/>
        <w:numPr>
          <w:ilvl w:val="1"/>
          <w:numId w:val="99"/>
        </w:numPr>
        <w:tabs>
          <w:tab w:val="clear" w:pos="708"/>
          <w:tab w:val="left" w:pos="993" w:leader="none"/>
        </w:tabs>
        <w:spacing w:lineRule="auto" w:line="259" w:before="0" w:after="160"/>
        <w:contextualSpacing/>
        <w:jc w:val="both"/>
        <w:rPr/>
      </w:pPr>
      <w:r>
        <w:rPr/>
        <w:t xml:space="preserve">Komunikacja z systemem AM odbywa się poprzez API SOAP oraz platformę integracyjną HIS – moduł RAUT. </w:t>
      </w:r>
    </w:p>
    <w:p>
      <w:pPr>
        <w:pStyle w:val="ListParagraph"/>
        <w:numPr>
          <w:ilvl w:val="1"/>
          <w:numId w:val="99"/>
        </w:numPr>
        <w:tabs>
          <w:tab w:val="clear" w:pos="708"/>
          <w:tab w:val="left" w:pos="993" w:leader="none"/>
        </w:tabs>
        <w:spacing w:lineRule="auto" w:line="259" w:before="0" w:after="160"/>
        <w:contextualSpacing/>
        <w:jc w:val="both"/>
        <w:rPr/>
      </w:pPr>
      <w:r>
        <w:rPr>
          <w:rFonts w:cs="Calibri" w:cstheme="minorHAnsi"/>
        </w:rPr>
        <w:t>Zawartość ankiety przekazywana jest za pośrednictwem usług udostępnionych przez NFZ w formie dokumentu XML.</w:t>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ListParagraph"/>
        <w:numPr>
          <w:ilvl w:val="0"/>
          <w:numId w:val="100"/>
        </w:numPr>
        <w:tabs>
          <w:tab w:val="clear" w:pos="708"/>
          <w:tab w:val="left" w:pos="993" w:leader="none"/>
        </w:tabs>
        <w:spacing w:lineRule="auto" w:line="259" w:before="0" w:after="160"/>
        <w:contextualSpacing/>
        <w:jc w:val="both"/>
        <w:rPr/>
      </w:pPr>
      <w:r>
        <w:rPr/>
        <w:t>Funkcjonalność korzysta z danych hospitalizacji pacjenta m.in. w zakresie danych przyjęcia do szpitala (skierowanie, tryb przyjęcia), rozpoznania, wyników badań diagnostycznych, zastosowanego leczenia, rehabilitacji, danych wypisowych w przypadku zgonu wprowadzonych w module Izba Przyjęć HIS oraz Oddział HIS.</w:t>
      </w:r>
    </w:p>
    <w:p>
      <w:pPr>
        <w:pStyle w:val="ListParagraph"/>
        <w:numPr>
          <w:ilvl w:val="0"/>
          <w:numId w:val="100"/>
        </w:numPr>
        <w:tabs>
          <w:tab w:val="clear" w:pos="708"/>
          <w:tab w:val="left" w:pos="993" w:leader="none"/>
        </w:tabs>
        <w:spacing w:lineRule="auto" w:line="259" w:before="0" w:after="160"/>
        <w:contextualSpacing/>
        <w:jc w:val="both"/>
        <w:rPr/>
      </w:pPr>
      <w:r>
        <w:rPr/>
        <w:t>Funkcjonalność korzysta z danych dot. zabiegu trombektomii mechanicznej rejestrowanych</w:t>
        <w:br/>
        <w:t>w module Blok operacyjny HIS lub Oddział HIS.</w:t>
      </w:r>
    </w:p>
    <w:p>
      <w:pPr>
        <w:pStyle w:val="ListParagraph"/>
        <w:numPr>
          <w:ilvl w:val="0"/>
          <w:numId w:val="100"/>
        </w:numPr>
        <w:tabs>
          <w:tab w:val="clear" w:pos="708"/>
          <w:tab w:val="left" w:pos="993" w:leader="none"/>
        </w:tabs>
        <w:spacing w:lineRule="auto" w:line="259" w:before="0" w:after="160"/>
        <w:contextualSpacing/>
        <w:jc w:val="both"/>
        <w:rPr/>
      </w:pPr>
      <w:r>
        <w:rPr/>
        <w:t>Zbiorczy podgląd ankiet możliwy jest z poziomu modułu Oddział HIS oraz Statystyka RCH HIS.</w:t>
      </w:r>
    </w:p>
    <w:p>
      <w:pPr>
        <w:pStyle w:val="ListParagraph"/>
        <w:numPr>
          <w:ilvl w:val="0"/>
          <w:numId w:val="100"/>
        </w:numPr>
        <w:tabs>
          <w:tab w:val="clear" w:pos="708"/>
          <w:tab w:val="left" w:pos="993" w:leader="none"/>
        </w:tabs>
        <w:spacing w:lineRule="auto" w:line="259" w:before="0" w:after="160"/>
        <w:contextualSpacing/>
        <w:jc w:val="both"/>
        <w:rPr/>
      </w:pPr>
      <w:r>
        <w:rPr/>
        <w:t>Integracja z systemem AM oparta jest o konfigurację komunikacji z NFZ określoną w module Panel administracyjny HIS.</w:t>
      </w:r>
    </w:p>
    <w:p>
      <w:pPr>
        <w:pStyle w:val="Normal"/>
        <w:tabs>
          <w:tab w:val="clear" w:pos="708"/>
          <w:tab w:val="left" w:pos="993" w:leader="none"/>
        </w:tabs>
        <w:rPr/>
      </w:pPr>
      <w:r>
        <w:rPr/>
      </w:r>
    </w:p>
    <w:p>
      <w:pPr>
        <w:pStyle w:val="ListParagraph"/>
        <w:pBdr>
          <w:bottom w:val="single" w:sz="12" w:space="1" w:color="000000"/>
        </w:pBdr>
        <w:spacing w:lineRule="auto" w:line="240"/>
        <w:ind w:left="0"/>
        <w:jc w:val="both"/>
        <w:rPr>
          <w:b/>
          <w:bCs/>
          <w:sz w:val="28"/>
          <w:szCs w:val="24"/>
        </w:rPr>
      </w:pPr>
      <w:r>
        <w:rPr>
          <w:b/>
          <w:bCs/>
          <w:sz w:val="28"/>
          <w:szCs w:val="24"/>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ListParagraph"/>
        <w:numPr>
          <w:ilvl w:val="0"/>
          <w:numId w:val="104"/>
        </w:numPr>
        <w:tabs>
          <w:tab w:val="clear" w:pos="708"/>
          <w:tab w:val="left" w:pos="993" w:leader="none"/>
        </w:tabs>
        <w:spacing w:lineRule="auto" w:line="259" w:before="0" w:after="160"/>
        <w:contextualSpacing/>
        <w:jc w:val="both"/>
        <w:rPr>
          <w:b/>
          <w:bCs/>
        </w:rPr>
      </w:pPr>
      <w:r>
        <w:rPr>
          <w:b/>
          <w:bCs/>
        </w:rPr>
        <w:t>Produkt zostanie uznany za zgodny funkcjonalnie, jeśli:</w:t>
      </w:r>
    </w:p>
    <w:p>
      <w:pPr>
        <w:pStyle w:val="ListParagraph"/>
        <w:tabs>
          <w:tab w:val="clear" w:pos="708"/>
          <w:tab w:val="left" w:pos="993" w:leader="none"/>
        </w:tabs>
        <w:ind w:left="927"/>
        <w:jc w:val="both"/>
        <w:rPr>
          <w:b/>
          <w:bCs/>
        </w:rPr>
      </w:pPr>
      <w:r>
        <w:rPr>
          <w:b/>
          <w:bCs/>
        </w:rPr>
      </w:r>
    </w:p>
    <w:p>
      <w:pPr>
        <w:pStyle w:val="ListParagraph"/>
        <w:numPr>
          <w:ilvl w:val="0"/>
          <w:numId w:val="101"/>
        </w:numPr>
        <w:spacing w:lineRule="auto" w:line="259" w:before="0" w:after="160"/>
        <w:contextualSpacing/>
        <w:jc w:val="both"/>
        <w:rPr/>
      </w:pPr>
      <w:r>
        <w:rPr/>
        <w:t>Umożliwia tworzenie, edycję Ankiety udarowej w 4 modelach obsługi: z trombektomią mechaniczną, bez trombektomii, z przekazaniem na trombektomię, ze skierowaniem na trombektomię przez inny szpital.</w:t>
      </w:r>
    </w:p>
    <w:p>
      <w:pPr>
        <w:pStyle w:val="ListParagraph"/>
        <w:numPr>
          <w:ilvl w:val="0"/>
          <w:numId w:val="101"/>
        </w:numPr>
        <w:tabs>
          <w:tab w:val="clear" w:pos="708"/>
          <w:tab w:val="left" w:pos="993" w:leader="none"/>
        </w:tabs>
        <w:spacing w:lineRule="auto" w:line="259" w:before="0" w:after="160"/>
        <w:contextualSpacing/>
        <w:jc w:val="both"/>
        <w:rPr/>
      </w:pPr>
      <w:r>
        <w:rPr/>
        <w:t>Umożliwia podpowiadanie danych w Ankiecie udarowej dotyczących przybycia pacjenta do szpitala, badań diagnostycznych mózgu, zastosowanego leczenia, danych trombektomii mechanicznej, rehabilitacji, danych wypisowych w przypadku zgonu.</w:t>
      </w:r>
    </w:p>
    <w:p>
      <w:pPr>
        <w:pStyle w:val="ListParagraph"/>
        <w:numPr>
          <w:ilvl w:val="0"/>
          <w:numId w:val="101"/>
        </w:numPr>
        <w:tabs>
          <w:tab w:val="clear" w:pos="708"/>
          <w:tab w:val="left" w:pos="993" w:leader="none"/>
        </w:tabs>
        <w:spacing w:lineRule="auto" w:line="259" w:before="0" w:after="160"/>
        <w:contextualSpacing/>
        <w:jc w:val="both"/>
        <w:rPr/>
      </w:pPr>
      <w:r>
        <w:rPr/>
        <w:t>Umożliwia autoryzację danych oraz podpisanie Ankiety endoprotezoplastyki.</w:t>
      </w:r>
    </w:p>
    <w:p>
      <w:pPr>
        <w:pStyle w:val="ListParagraph"/>
        <w:numPr>
          <w:ilvl w:val="0"/>
          <w:numId w:val="101"/>
        </w:numPr>
        <w:tabs>
          <w:tab w:val="clear" w:pos="708"/>
          <w:tab w:val="left" w:pos="993" w:leader="none"/>
        </w:tabs>
        <w:spacing w:lineRule="auto" w:line="259" w:before="0" w:after="160"/>
        <w:contextualSpacing/>
        <w:jc w:val="both"/>
        <w:rPr/>
      </w:pPr>
      <w:r>
        <w:rPr/>
        <w:t>Zapewnia komunikację z systemem Ankiety Medyczne (AM).</w:t>
      </w:r>
    </w:p>
    <w:p>
      <w:pPr>
        <w:pStyle w:val="ListParagraph"/>
        <w:numPr>
          <w:ilvl w:val="0"/>
          <w:numId w:val="101"/>
        </w:numPr>
        <w:tabs>
          <w:tab w:val="clear" w:pos="708"/>
          <w:tab w:val="left" w:pos="993" w:leader="none"/>
        </w:tabs>
        <w:spacing w:lineRule="auto" w:line="259" w:before="0" w:after="160"/>
        <w:contextualSpacing/>
        <w:jc w:val="both"/>
        <w:rPr/>
      </w:pPr>
      <w:r>
        <w:rPr/>
        <w:t>Umożliwia wysyłkę Ankiety w wersji roboczej oraz oficjalnej.</w:t>
      </w:r>
    </w:p>
    <w:p>
      <w:pPr>
        <w:pStyle w:val="ListParagraph"/>
        <w:numPr>
          <w:ilvl w:val="0"/>
          <w:numId w:val="101"/>
        </w:numPr>
        <w:tabs>
          <w:tab w:val="clear" w:pos="708"/>
          <w:tab w:val="left" w:pos="993" w:leader="none"/>
        </w:tabs>
        <w:spacing w:lineRule="auto" w:line="259" w:before="0" w:after="160"/>
        <w:contextualSpacing/>
        <w:jc w:val="both"/>
        <w:rPr/>
      </w:pPr>
      <w:r>
        <w:rPr/>
        <w:t>Poprawnie prezentuje wynik komunikacji z systemem AM.</w:t>
      </w:r>
    </w:p>
    <w:p>
      <w:pPr>
        <w:pStyle w:val="ListParagraph"/>
        <w:numPr>
          <w:ilvl w:val="0"/>
          <w:numId w:val="101"/>
        </w:numPr>
        <w:tabs>
          <w:tab w:val="clear" w:pos="708"/>
          <w:tab w:val="left" w:pos="993" w:leader="none"/>
        </w:tabs>
        <w:spacing w:lineRule="auto" w:line="259" w:before="0" w:after="160"/>
        <w:contextualSpacing/>
        <w:jc w:val="both"/>
        <w:rPr/>
      </w:pPr>
      <w:r>
        <w:rPr/>
        <w:t>Umożliwia wysyłkę korekty Ankiety.</w:t>
      </w:r>
    </w:p>
    <w:p>
      <w:pPr>
        <w:pStyle w:val="ListParagraph"/>
        <w:numPr>
          <w:ilvl w:val="0"/>
          <w:numId w:val="101"/>
        </w:numPr>
        <w:tabs>
          <w:tab w:val="clear" w:pos="708"/>
          <w:tab w:val="left" w:pos="993" w:leader="none"/>
        </w:tabs>
        <w:spacing w:lineRule="auto" w:line="259" w:before="0" w:after="160"/>
        <w:contextualSpacing/>
        <w:jc w:val="both"/>
        <w:rPr/>
      </w:pPr>
      <w:r>
        <w:rPr/>
        <w:t>Umożliwia anulowanie dokumentu.</w:t>
      </w:r>
    </w:p>
    <w:p>
      <w:pPr>
        <w:pStyle w:val="ListParagraph"/>
        <w:numPr>
          <w:ilvl w:val="0"/>
          <w:numId w:val="101"/>
        </w:numPr>
        <w:tabs>
          <w:tab w:val="clear" w:pos="708"/>
          <w:tab w:val="left" w:pos="993" w:leader="none"/>
        </w:tabs>
        <w:spacing w:lineRule="auto" w:line="259" w:before="0" w:after="160"/>
        <w:contextualSpacing/>
        <w:jc w:val="both"/>
        <w:rPr/>
      </w:pPr>
      <w:r>
        <w:rPr/>
        <w:t>Umożliwia podgląd danych zabiegu trombektomii zrealizowanego w ramach Bloku operacyjnego.</w:t>
      </w:r>
    </w:p>
    <w:p>
      <w:pPr>
        <w:pStyle w:val="ListParagraph"/>
        <w:numPr>
          <w:ilvl w:val="0"/>
          <w:numId w:val="101"/>
        </w:numPr>
        <w:tabs>
          <w:tab w:val="clear" w:pos="708"/>
          <w:tab w:val="left" w:pos="993" w:leader="none"/>
        </w:tabs>
        <w:spacing w:lineRule="auto" w:line="259" w:before="0" w:after="160"/>
        <w:contextualSpacing/>
        <w:jc w:val="both"/>
        <w:rPr/>
      </w:pPr>
      <w:r>
        <w:rPr/>
        <w:t>Pozwala na bezpośrednie przejście do ankiety w systemie AM.</w:t>
      </w:r>
    </w:p>
    <w:p>
      <w:pPr>
        <w:pStyle w:val="ListParagraph"/>
        <w:numPr>
          <w:ilvl w:val="0"/>
          <w:numId w:val="101"/>
        </w:numPr>
        <w:tabs>
          <w:tab w:val="clear" w:pos="708"/>
          <w:tab w:val="left" w:pos="993" w:leader="none"/>
        </w:tabs>
        <w:spacing w:lineRule="auto" w:line="259" w:before="0" w:after="160"/>
        <w:contextualSpacing/>
        <w:jc w:val="both"/>
        <w:rPr/>
      </w:pPr>
      <w:r>
        <w:rPr/>
        <w:t>Umożliwia zbiorczy przegląd Ankiet udarowych.</w:t>
      </w:r>
    </w:p>
    <w:p>
      <w:pPr>
        <w:pStyle w:val="ListParagraph"/>
        <w:pBdr>
          <w:bottom w:val="single" w:sz="12" w:space="1" w:color="000000"/>
        </w:pBdr>
        <w:spacing w:lineRule="auto" w:line="240"/>
        <w:ind w:left="0"/>
        <w:jc w:val="both"/>
        <w:rPr>
          <w:b/>
          <w:bCs/>
          <w:sz w:val="28"/>
          <w:szCs w:val="24"/>
        </w:rPr>
      </w:pPr>
      <w:r>
        <w:rPr>
          <w:b/>
          <w:bCs/>
          <w:sz w:val="28"/>
          <w:szCs w:val="24"/>
        </w:rPr>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102"/>
        </w:numPr>
        <w:tabs>
          <w:tab w:val="clear" w:pos="708"/>
          <w:tab w:val="left" w:pos="993" w:leader="none"/>
        </w:tabs>
        <w:spacing w:lineRule="auto" w:line="259" w:before="0" w:after="160"/>
        <w:contextualSpacing/>
        <w:jc w:val="both"/>
        <w:rPr/>
      </w:pPr>
      <w:r>
        <w:rPr/>
        <w:t>Licencja: ANKIETA_UDAR.</w:t>
      </w:r>
    </w:p>
    <w:p>
      <w:pPr>
        <w:pStyle w:val="ListParagraph"/>
        <w:numPr>
          <w:ilvl w:val="0"/>
          <w:numId w:val="102"/>
        </w:numPr>
        <w:tabs>
          <w:tab w:val="clear" w:pos="708"/>
          <w:tab w:val="left" w:pos="993" w:leader="none"/>
        </w:tabs>
        <w:spacing w:lineRule="auto" w:line="259" w:before="0" w:after="160"/>
        <w:contextualSpacing/>
        <w:jc w:val="both"/>
        <w:rPr/>
      </w:pPr>
      <w:r>
        <w:rPr/>
        <w:t>Działająca komunikacja z NFZ.</w:t>
      </w:r>
    </w:p>
    <w:p>
      <w:pPr>
        <w:pStyle w:val="ListParagraph"/>
        <w:numPr>
          <w:ilvl w:val="0"/>
          <w:numId w:val="102"/>
        </w:numPr>
        <w:tabs>
          <w:tab w:val="clear" w:pos="708"/>
          <w:tab w:val="left" w:pos="993" w:leader="none"/>
        </w:tabs>
        <w:spacing w:lineRule="auto" w:line="259" w:before="0" w:after="160"/>
        <w:contextualSpacing/>
        <w:jc w:val="both"/>
        <w:rPr/>
      </w:pPr>
      <w:r>
        <w:rPr/>
        <w:t>Prawidłowo skonfigurowane logowanie do NFZ.</w:t>
      </w:r>
    </w:p>
    <w:p>
      <w:pPr>
        <w:pStyle w:val="NoSpacing"/>
        <w:rPr/>
      </w:pPr>
      <w:r>
        <w:rPr/>
      </w:r>
    </w:p>
    <w:p>
      <w:pPr>
        <w:pStyle w:val="Normal"/>
        <w:numPr>
          <w:ilvl w:val="0"/>
          <w:numId w:val="61"/>
        </w:numPr>
        <w:tabs>
          <w:tab w:val="clear" w:pos="708"/>
          <w:tab w:val="left" w:pos="993" w:leader="none"/>
        </w:tabs>
        <w:spacing w:lineRule="auto" w:line="259" w:before="0" w:after="160"/>
        <w:rPr>
          <w:b/>
          <w:bCs/>
        </w:rPr>
      </w:pPr>
      <w:r>
        <w:rPr>
          <w:b/>
          <w:bCs/>
        </w:rPr>
        <w:t>Wymagania techniczne:</w:t>
      </w:r>
    </w:p>
    <w:p>
      <w:pPr>
        <w:pStyle w:val="NoSpacing"/>
        <w:numPr>
          <w:ilvl w:val="0"/>
          <w:numId w:val="106"/>
        </w:numPr>
        <w:rPr/>
      </w:pPr>
      <w:r>
        <w:rPr/>
        <w:t>Instalacja Platformy Integracyjnej – moduł RAUT.</w:t>
      </w:r>
    </w:p>
    <w:p>
      <w:pPr>
        <w:pStyle w:val="ListParagraph"/>
        <w:tabs>
          <w:tab w:val="clear" w:pos="708"/>
          <w:tab w:val="left" w:pos="993" w:leader="none"/>
        </w:tabs>
        <w:spacing w:lineRule="auto" w:line="240" w:before="0" w:after="0"/>
        <w:ind w:left="360"/>
        <w:contextualSpacing/>
        <w:rPr/>
      </w:pPr>
      <w:r>
        <w:rPr/>
      </w:r>
    </w:p>
    <w:p>
      <w:pPr>
        <w:pStyle w:val="Normal"/>
        <w:numPr>
          <w:ilvl w:val="0"/>
          <w:numId w:val="61"/>
        </w:numPr>
        <w:tabs>
          <w:tab w:val="clear" w:pos="708"/>
          <w:tab w:val="left" w:pos="993" w:leader="none"/>
        </w:tabs>
        <w:spacing w:lineRule="auto" w:line="259" w:before="0" w:after="160"/>
        <w:rPr/>
      </w:pPr>
      <w:r>
        <w:rPr>
          <w:b/>
          <w:bCs/>
        </w:rPr>
        <w:t>Wymagania organizacyjne:</w:t>
      </w:r>
    </w:p>
    <w:p>
      <w:pPr>
        <w:pStyle w:val="ListParagraph"/>
        <w:numPr>
          <w:ilvl w:val="0"/>
          <w:numId w:val="105"/>
        </w:numPr>
        <w:tabs>
          <w:tab w:val="clear" w:pos="708"/>
          <w:tab w:val="left" w:pos="993" w:leader="none"/>
        </w:tabs>
        <w:spacing w:lineRule="auto" w:line="259" w:before="0" w:after="160"/>
        <w:contextualSpacing/>
        <w:jc w:val="both"/>
        <w:rPr/>
      </w:pPr>
      <w:r>
        <w:rPr/>
        <w:t>Jednostka musi mieć aktywną umowę z NFZ w rodzaju lecznictwo szpitalne lub umowę podstawowego systemu zabezpieczenia szpitalnego oraz wykonywać zabiegi trombektomii mechanicznej.</w:t>
      </w:r>
    </w:p>
    <w:p>
      <w:pPr>
        <w:pStyle w:val="ListParagraph"/>
        <w:numPr>
          <w:ilvl w:val="0"/>
          <w:numId w:val="105"/>
        </w:numPr>
        <w:tabs>
          <w:tab w:val="clear" w:pos="708"/>
          <w:tab w:val="left" w:pos="993" w:leader="none"/>
        </w:tabs>
        <w:spacing w:lineRule="auto" w:line="259" w:before="0" w:after="160"/>
        <w:contextualSpacing/>
        <w:rPr/>
      </w:pPr>
      <w:r>
        <w:rPr/>
        <w:t>Nadanie uprawnień operatorom – administratorom w Portalu SZOI/Portalu Świadczeniodawcy oraz nadanie uprawnień operatorom w systemie centralnym KAAS-MGR-SYS do systemu AM.</w:t>
      </w:r>
    </w:p>
    <w:p>
      <w:pPr>
        <w:pStyle w:val="ListParagraph"/>
        <w:numPr>
          <w:ilvl w:val="0"/>
          <w:numId w:val="105"/>
        </w:numPr>
        <w:tabs>
          <w:tab w:val="clear" w:pos="708"/>
          <w:tab w:val="left" w:pos="993" w:leader="none"/>
        </w:tabs>
        <w:spacing w:lineRule="auto" w:line="259" w:before="0" w:after="160"/>
        <w:contextualSpacing/>
        <w:rPr/>
      </w:pPr>
      <w:r>
        <w:rPr/>
        <w:t>Nadanie uprawnień do Ankiety udarowej w systemie AMMS – Odczyt / Wpis / Autoryzacja / Modyfikacja.</w:t>
      </w:r>
    </w:p>
    <w:p>
      <w:pPr>
        <w:pStyle w:val="ListParagraph"/>
        <w:numPr>
          <w:ilvl w:val="0"/>
          <w:numId w:val="105"/>
        </w:numPr>
        <w:tabs>
          <w:tab w:val="clear" w:pos="708"/>
          <w:tab w:val="left" w:pos="993" w:leader="none"/>
        </w:tabs>
        <w:spacing w:lineRule="auto" w:line="259" w:before="0" w:after="160"/>
        <w:contextualSpacing/>
        <w:rPr/>
      </w:pPr>
      <w:r>
        <w:rPr/>
        <w:t>Zweryfikowane dane instytucji (ZL) w systemie AM.</w:t>
      </w:r>
    </w:p>
    <w:p>
      <w:pPr>
        <w:pStyle w:val="ListParagraph"/>
        <w:pBdr>
          <w:bottom w:val="single" w:sz="12" w:space="1" w:color="000000"/>
        </w:pBdr>
        <w:spacing w:lineRule="auto" w:line="240"/>
        <w:ind w:left="0"/>
        <w:jc w:val="both"/>
        <w:rPr>
          <w:sz w:val="28"/>
          <w:szCs w:val="28"/>
        </w:rPr>
      </w:pPr>
      <w:r>
        <w:rPr>
          <w:sz w:val="28"/>
          <w:szCs w:val="28"/>
        </w:rPr>
      </w:r>
    </w:p>
    <w:p>
      <w:pPr>
        <w:pStyle w:val="ListParagraph"/>
        <w:pBdr>
          <w:bottom w:val="single" w:sz="12" w:space="1" w:color="000000"/>
        </w:pBdr>
        <w:spacing w:lineRule="auto" w:line="240"/>
        <w:ind w:left="0"/>
        <w:jc w:val="both"/>
        <w:rPr>
          <w:b/>
          <w:bCs/>
          <w:sz w:val="28"/>
          <w:szCs w:val="24"/>
        </w:rPr>
      </w:pPr>
      <w:r>
        <w:rPr>
          <w:b/>
          <w:bCs/>
          <w:sz w:val="28"/>
          <w:szCs w:val="24"/>
        </w:rPr>
        <w:t xml:space="preserve">Opis wdrożenia </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NoSpacing"/>
        <w:numPr>
          <w:ilvl w:val="0"/>
          <w:numId w:val="103"/>
        </w:numPr>
        <w:jc w:val="both"/>
        <w:rPr/>
      </w:pPr>
      <w:r>
        <w:rPr/>
        <w:t>Platforma Integracyjna – instalacja usługi RAUT, zmiana adresów usług na środowisko produkcyjne.</w:t>
      </w:r>
    </w:p>
    <w:p>
      <w:pPr>
        <w:pStyle w:val="NoSpacing"/>
        <w:numPr>
          <w:ilvl w:val="0"/>
          <w:numId w:val="103"/>
        </w:numPr>
        <w:jc w:val="both"/>
        <w:rPr/>
      </w:pPr>
      <w:r>
        <w:rPr/>
        <w:t>Weryfikacja konfiguracji komunikacji z NFZ.</w:t>
      </w:r>
    </w:p>
    <w:p>
      <w:pPr>
        <w:pStyle w:val="NoSpacing"/>
        <w:numPr>
          <w:ilvl w:val="0"/>
          <w:numId w:val="103"/>
        </w:numPr>
        <w:jc w:val="both"/>
        <w:rPr/>
      </w:pPr>
      <w:r>
        <w:rPr/>
        <w:t>Weryfikacja / konfiguracja logowania do systemów NFZ (AM) – w kontekście: System / Użytkownik.</w:t>
      </w:r>
    </w:p>
    <w:p>
      <w:pPr>
        <w:pStyle w:val="NoSpacing"/>
        <w:numPr>
          <w:ilvl w:val="0"/>
          <w:numId w:val="103"/>
        </w:numPr>
        <w:jc w:val="both"/>
        <w:rPr/>
      </w:pPr>
      <w:r>
        <w:rPr/>
        <w:t>Weryfikacja konfiguracji JOS w zakresie Zakładu leczniczego (nazwa ZL musi być zgodna z nazwą z RPWDL, typ = ZLW, uzupełniony REGON.)</w:t>
      </w:r>
    </w:p>
    <w:p>
      <w:pPr>
        <w:pStyle w:val="NoSpacing"/>
        <w:numPr>
          <w:ilvl w:val="0"/>
          <w:numId w:val="103"/>
        </w:numPr>
        <w:jc w:val="both"/>
        <w:rPr/>
      </w:pPr>
      <w:r>
        <w:rPr/>
        <w:t>Nadanie uprawnień – Odczyt / Wpis / Autoryzacja / Modyfikacja.</w:t>
      </w:r>
    </w:p>
    <w:p>
      <w:pPr>
        <w:pStyle w:val="NoSpacing"/>
        <w:numPr>
          <w:ilvl w:val="0"/>
          <w:numId w:val="103"/>
        </w:numPr>
        <w:jc w:val="both"/>
        <w:rPr/>
      </w:pPr>
      <w:r>
        <w:rPr/>
        <w:t>Ustawienie parametrów systemowych:</w:t>
      </w:r>
    </w:p>
    <w:p>
      <w:pPr>
        <w:pStyle w:val="NoSpacing"/>
        <w:ind w:left="360"/>
        <w:jc w:val="both"/>
        <w:rPr/>
      </w:pPr>
      <w:r>
        <w:rPr/>
        <w:t>- ANK_UDAR\PROC\ANGIO-MR,</w:t>
      </w:r>
    </w:p>
    <w:p>
      <w:pPr>
        <w:pStyle w:val="NoSpacing"/>
        <w:ind w:left="360"/>
        <w:jc w:val="both"/>
        <w:rPr/>
      </w:pPr>
      <w:r>
        <w:rPr/>
        <w:t>- ANK_UDAR\PROC\ANGIO-TK,</w:t>
      </w:r>
    </w:p>
    <w:p>
      <w:pPr>
        <w:pStyle w:val="NoSpacing"/>
        <w:ind w:left="360"/>
        <w:jc w:val="both"/>
        <w:rPr/>
      </w:pPr>
      <w:r>
        <w:rPr/>
        <w:t>- ANK_UDAR\PROC\TROMBEKTOMIA,</w:t>
      </w:r>
    </w:p>
    <w:p>
      <w:pPr>
        <w:pStyle w:val="NoSpacing"/>
        <w:ind w:left="360"/>
        <w:jc w:val="both"/>
        <w:rPr/>
      </w:pPr>
      <w:r>
        <w:rPr/>
        <w:t>- ANK_UDAR\PROC\TROMBOLIZA,</w:t>
      </w:r>
    </w:p>
    <w:p>
      <w:pPr>
        <w:pStyle w:val="NoSpacing"/>
        <w:ind w:left="360"/>
        <w:jc w:val="both"/>
        <w:rPr/>
      </w:pPr>
      <w:r>
        <w:rPr/>
        <w:t xml:space="preserve">- AU\RODZAJ_PODPISU,  </w:t>
      </w:r>
    </w:p>
    <w:p>
      <w:pPr>
        <w:pStyle w:val="NoSpacing"/>
        <w:ind w:left="360"/>
        <w:jc w:val="both"/>
        <w:rPr/>
      </w:pPr>
      <w:r>
        <w:rPr/>
        <w:t xml:space="preserve">- SzynaIntegr\AdresPI, </w:t>
      </w:r>
    </w:p>
    <w:p>
      <w:pPr>
        <w:pStyle w:val="NoSpacing"/>
        <w:ind w:left="360"/>
        <w:jc w:val="both"/>
        <w:rPr/>
      </w:pPr>
      <w:r>
        <w:rPr/>
        <w:t>- dot. AUTORYZACJI (wraz z punktem autoryzacji: ANKIETA_UDAR).</w:t>
      </w:r>
    </w:p>
    <w:p>
      <w:pPr>
        <w:pStyle w:val="NoSpacing"/>
        <w:numPr>
          <w:ilvl w:val="0"/>
          <w:numId w:val="103"/>
        </w:numPr>
        <w:jc w:val="both"/>
        <w:rPr/>
      </w:pPr>
      <w:r>
        <w:rPr/>
        <w:t>Konfiguracja dokumentacji medycznej – określenie dostępności dokumentu w JOS (klasa dokumentu: ANK_UDAR).</w:t>
      </w:r>
    </w:p>
    <w:p>
      <w:pPr>
        <w:pStyle w:val="Normal"/>
        <w:tabs>
          <w:tab w:val="clear" w:pos="708"/>
          <w:tab w:val="left" w:pos="993" w:leader="none"/>
        </w:tabs>
        <w:rPr>
          <w:rFonts w:ascii="Aptos" w:hAnsi="Aptos" w:eastAsia="Aptos" w:cs="Aptos"/>
          <w:color w:themeColor="text1" w:val="000000"/>
          <w:highlight w:val="yellow"/>
        </w:rPr>
      </w:pPr>
      <w:r>
        <w:rPr>
          <w:rFonts w:eastAsia="Aptos" w:cs="Aptos" w:ascii="Aptos" w:hAnsi="Aptos"/>
          <w:color w:themeColor="text1" w:val="000000"/>
          <w:highlight w:val="yellow"/>
        </w:rPr>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rPr/>
      </w:pPr>
      <w:r>
        <w:rPr/>
        <w:t>Opis tego, co musi zostać uruchomione i skonfigurowane w ramach wdrożenia:</w:t>
      </w:r>
    </w:p>
    <w:p>
      <w:pPr>
        <w:pStyle w:val="NoSpacing"/>
        <w:numPr>
          <w:ilvl w:val="0"/>
          <w:numId w:val="107"/>
        </w:numPr>
        <w:jc w:val="both"/>
        <w:rPr/>
      </w:pPr>
      <w:r>
        <w:rPr/>
        <w:t>Wgranie licencji – ANKIETA_UDAR.</w:t>
      </w:r>
    </w:p>
    <w:p>
      <w:pPr>
        <w:pStyle w:val="NoSpacing"/>
        <w:numPr>
          <w:ilvl w:val="0"/>
          <w:numId w:val="107"/>
        </w:numPr>
        <w:jc w:val="both"/>
        <w:rPr/>
      </w:pPr>
      <w:r>
        <w:rPr/>
        <w:t>Szkolenie personelu i konsultacje na stanowiskach</w:t>
      </w:r>
    </w:p>
    <w:p>
      <w:pPr>
        <w:pStyle w:val="NoSpacing"/>
        <w:jc w:val="both"/>
        <w:rPr/>
      </w:pPr>
      <w:r>
        <w:rPr/>
      </w:r>
    </w:p>
    <w:p>
      <w:pPr>
        <w:pStyle w:val="Normal"/>
        <w:rPr/>
      </w:pPr>
      <w:r>
        <w:rPr/>
      </w:r>
    </w:p>
    <w:p>
      <w:pPr>
        <w:pStyle w:val="Normal"/>
        <w:rPr/>
      </w:pPr>
      <w:r>
        <w:rPr/>
      </w:r>
    </w:p>
    <w:p>
      <w:pPr>
        <w:pStyle w:val="Normal"/>
        <w:spacing w:lineRule="auto" w:line="240"/>
        <w:ind w:left="720"/>
        <w:jc w:val="center"/>
        <w:rPr>
          <w:rFonts w:ascii="Aptos" w:hAnsi="Aptos" w:eastAsia="Aptos" w:cs="Aptos"/>
          <w:b/>
          <w:bCs/>
          <w:color w:val="00B0F0"/>
          <w:sz w:val="32"/>
          <w:szCs w:val="32"/>
        </w:rPr>
      </w:pPr>
      <w:r>
        <w:rPr>
          <w:rFonts w:eastAsia="Aptos" w:cs="Aptos" w:ascii="Aptos" w:hAnsi="Aptos"/>
          <w:b/>
          <w:bCs/>
          <w:color w:val="00B0F0"/>
          <w:sz w:val="32"/>
          <w:szCs w:val="32"/>
        </w:rPr>
        <w:t>10.Ankiety SIMP</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95"/>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Wymagania funkcjonalne</w:t>
      </w:r>
    </w:p>
    <w:p>
      <w:pPr>
        <w:pStyle w:val="ListParagraph"/>
        <w:numPr>
          <w:ilvl w:val="1"/>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gromadzenie i przetwarzanie danych o zrealizowanych badaniach w ramach programów profilaktycznych NFZ – Profilaktyka chorób układu krążenia oraz Profilaktyka raka piersi.</w:t>
      </w:r>
    </w:p>
    <w:p>
      <w:pPr>
        <w:pStyle w:val="ListParagraph"/>
        <w:numPr>
          <w:ilvl w:val="1"/>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zapewniać walidację danych na poziomie systemu HIS.</w:t>
      </w:r>
    </w:p>
    <w:p>
      <w:pPr>
        <w:pStyle w:val="ListParagraph"/>
        <w:numPr>
          <w:ilvl w:val="1"/>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wspierać wypełnianie ankiet danymi pacjenta zaewidencjonowanymi w systemie HIS, w tym danymi osobowymi pacjenta, wynikami badań oraz pomiarów.</w:t>
      </w:r>
    </w:p>
    <w:p>
      <w:pPr>
        <w:pStyle w:val="ListParagraph"/>
        <w:numPr>
          <w:ilvl w:val="1"/>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ewidencję badań realizowanych w ramach programów profilaktycznych bez konieczności ręcznego wprowadzania danych na portalu SIMP.</w:t>
      </w:r>
    </w:p>
    <w:p>
      <w:pPr>
        <w:pStyle w:val="ListParagraph"/>
        <w:tabs>
          <w:tab w:val="clear" w:pos="708"/>
          <w:tab w:val="left" w:pos="993" w:leader="none"/>
        </w:tabs>
        <w:ind w:lef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Wewnętrzne integracje:</w:t>
      </w:r>
    </w:p>
    <w:p>
      <w:pPr>
        <w:pStyle w:val="ListParagraph"/>
        <w:numPr>
          <w:ilvl w:val="1"/>
          <w:numId w:val="9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Dane do systemu SIMP są przekazywane za pośrednictwem Platformy Integracyjnej</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Informatyczny Monitorowania Profilaktyki (SIMP) - dane z HIS przekazywane są do SIMP w postaci pliku XML za pośrednictwem usługi udostępnionej przez NFZ.</w:t>
      </w:r>
    </w:p>
    <w:p>
      <w:pPr>
        <w:pStyle w:val="ListParagraph"/>
        <w:tabs>
          <w:tab w:val="clear" w:pos="708"/>
          <w:tab w:val="left" w:pos="993" w:leader="none"/>
        </w:tabs>
        <w:ind w:lef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Funkcjonalność korzysta z danych osobowych pacjenta oraz z danych pobytu pacjenta w zakresie wyników badań i pomiarów.</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Integracja z SIMP wykorzystuje konfigurację komunikacji z systemami NFZ definiowaną na poziomie HIS.</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lef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zarejestrowanie i zaewidencjonowanie danych ankiety mammograficznej oraz karty ChUK.</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podpowiadanie danych zaewidencjonowanych w systemie HIS (w zakresie danych osobowych, wyników badań i pomiarów).</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Daje możliwość autoryzacji danych i podpisania ankiet.</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zarejestrowanie badania w SIMP.</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Pozwala na przesłanie i poprawne zapisanie danych zrealizowanego badania profilaktycznego w SIMP.</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Umożliwia bieżącą weryfikację statusu badania w SIMP. </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Poprawnie wyświetla wynik komunikacji z SIMP.</w:t>
      </w:r>
    </w:p>
    <w:p>
      <w:pPr>
        <w:pStyle w:val="ListParagraph"/>
        <w:numPr>
          <w:ilvl w:val="0"/>
          <w:numId w:val="10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korektę błędnie przesłanej ankiety.</w:t>
      </w:r>
    </w:p>
    <w:p>
      <w:pPr>
        <w:pStyle w:val="ListParagraph"/>
        <w:tabs>
          <w:tab w:val="clear" w:pos="708"/>
          <w:tab w:val="left" w:pos="993" w:leader="none"/>
        </w:tabs>
        <w:ind w:left="1080"/>
        <w:jc w:val="both"/>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Licencja: Integracja_SIMP</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Działająca komunikacja z NFZ</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Skonfigurowanie w AMMS danych do logowania do portalu SIMP (parametry: SzynaIntegr\SIMP\Haslo, SzynaIntegr\SIMP\Login)</w:t>
      </w:r>
    </w:p>
    <w:p>
      <w:pPr>
        <w:pStyle w:val="ListParagraph"/>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Zainstalowany na Platformie Integracyjnej moduł SIMP (pakiet Usługi NFZ) wraz z podaniem aktualnego adresu środowiska SIMP.</w:t>
      </w:r>
    </w:p>
    <w:p>
      <w:pPr>
        <w:pStyle w:val="ListParagraph"/>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Jednostka musi mieć aktywną umowę z NFZ w zakresie realizacji Profilaktycznych programów zdrowotnych.</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Nadanie uprawnień do eksportu danych SIMP w systemie AMMS - 10892 – „Eksport danych do SIMP”</w:t>
      </w:r>
    </w:p>
    <w:p>
      <w:pPr>
        <w:pStyle w:val="ListParagraph"/>
        <w:numPr>
          <w:ilvl w:val="1"/>
          <w:numId w:val="91"/>
        </w:numPr>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Dostęp operatora do systemu SIMP wraz z nadanymi dodatkowymi uprawnieniami: </w:t>
      </w:r>
    </w:p>
    <w:p>
      <w:pPr>
        <w:pStyle w:val="ListParagraph"/>
        <w:numPr>
          <w:ilvl w:val="2"/>
          <w:numId w:val="112"/>
        </w:numPr>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Ankiety mammograficznej: „Mammografia - rejestracja badania przez Webservice” oraz „Interfejs integracyjny SIMP - mammografia”,</w:t>
      </w:r>
    </w:p>
    <w:p>
      <w:pPr>
        <w:pStyle w:val="ListParagraph"/>
        <w:numPr>
          <w:ilvl w:val="2"/>
          <w:numId w:val="11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Karty ChUK: „Układ krążenia – rejestracja badania przez Webservice” oraz  „Układ krążenia – import badań”.</w:t>
      </w:r>
    </w:p>
    <w:p>
      <w:pPr>
        <w:pStyle w:val="ListParagraph"/>
        <w:tabs>
          <w:tab w:val="clear" w:pos="708"/>
          <w:tab w:val="left" w:pos="993" w:leader="none"/>
        </w:tabs>
        <w:ind w:left="216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Platforma Integracyjna – instalacja usługi SIMP.</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Weryfikacja konfiguracji komunikacji z NFZ.</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Weryfikacja konfiguracji umów NFZ w zakresie:</w:t>
      </w:r>
    </w:p>
    <w:p>
      <w:pPr>
        <w:pStyle w:val="ListParagraph"/>
        <w:numPr>
          <w:ilvl w:val="1"/>
          <w:numId w:val="109"/>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ankiety mammograficznej:</w:t>
      </w:r>
    </w:p>
    <w:p>
      <w:pPr>
        <w:pStyle w:val="ListParagraph"/>
        <w:numPr>
          <w:ilvl w:val="2"/>
          <w:numId w:val="109"/>
        </w:numPr>
        <w:tabs>
          <w:tab w:val="clear" w:pos="708"/>
          <w:tab w:val="left" w:pos="993" w:leader="none"/>
        </w:tabs>
        <w:spacing w:lineRule="auto" w:line="259" w:before="0" w:after="160"/>
        <w:contextualSpacing/>
        <w:rPr/>
      </w:pPr>
      <w:r>
        <w:rPr/>
        <w:t>10.7940.159.02 w celu realizacji wizyt mobilnych (w mammobusie),</w:t>
      </w:r>
    </w:p>
    <w:p>
      <w:pPr>
        <w:pStyle w:val="ListParagraph"/>
        <w:numPr>
          <w:ilvl w:val="2"/>
          <w:numId w:val="109"/>
        </w:numPr>
        <w:tabs>
          <w:tab w:val="clear" w:pos="708"/>
          <w:tab w:val="left" w:pos="993" w:leader="none"/>
        </w:tabs>
        <w:spacing w:lineRule="auto" w:line="259" w:before="0" w:after="160"/>
        <w:contextualSpacing/>
        <w:rPr/>
      </w:pPr>
      <w:r>
        <w:rPr/>
        <w:t>10.7940.158.02 w celu realizacji wizyty stacjonarnej.</w:t>
      </w:r>
    </w:p>
    <w:p>
      <w:pPr>
        <w:pStyle w:val="ListParagraph"/>
        <w:numPr>
          <w:ilvl w:val="1"/>
          <w:numId w:val="109"/>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karty ChUK:</w:t>
      </w:r>
    </w:p>
    <w:p>
      <w:pPr>
        <w:pStyle w:val="ListParagraph"/>
        <w:numPr>
          <w:ilvl w:val="2"/>
          <w:numId w:val="109"/>
        </w:numPr>
        <w:tabs>
          <w:tab w:val="clear" w:pos="708"/>
          <w:tab w:val="left" w:pos="993" w:leader="none"/>
        </w:tabs>
        <w:spacing w:lineRule="auto" w:line="259" w:before="0" w:after="160"/>
        <w:contextualSpacing/>
        <w:rPr/>
      </w:pPr>
      <w:r>
        <w:rPr/>
        <w:t>01.0032.180.11 – zakres dla pielęgniarki.</w:t>
      </w:r>
    </w:p>
    <w:p>
      <w:pPr>
        <w:pStyle w:val="ListParagraph"/>
        <w:numPr>
          <w:ilvl w:val="2"/>
          <w:numId w:val="109"/>
        </w:numPr>
        <w:tabs>
          <w:tab w:val="clear" w:pos="708"/>
          <w:tab w:val="left" w:pos="993" w:leader="none"/>
        </w:tabs>
        <w:spacing w:lineRule="auto" w:line="259" w:before="0" w:after="160"/>
        <w:contextualSpacing/>
        <w:rPr/>
      </w:pPr>
      <w:r>
        <w:rPr/>
        <w:t>01.0010.107.11 – zakres dla lekarza.</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Uzupełnienie parametrów:</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SzynaIntegr\SIMP\Login</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SzynaIntegr\SIMP\Haslo</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dla każdego użytkownika, który będzie eksportował dane do SIMP;</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tabs>
          <w:tab w:val="clear" w:pos="708"/>
          <w:tab w:val="left" w:pos="993" w:leader="none"/>
        </w:tabs>
        <w:rPr/>
      </w:pPr>
      <w:r>
        <w:rPr>
          <w:rFonts w:eastAsia="Aptos" w:cs="Aptos" w:ascii="Aptos" w:hAnsi="Aptos"/>
          <w:color w:themeColor="text1" w:val="000000"/>
        </w:rPr>
        <w:t>-</w:t>
      </w:r>
      <w:r>
        <w:rPr/>
        <w:t xml:space="preserve"> </w:t>
      </w:r>
      <w:r>
        <w:rPr>
          <w:rFonts w:eastAsia="Aptos" w:cs="Aptos" w:ascii="Aptos" w:hAnsi="Aptos"/>
          <w:color w:themeColor="text1" w:val="000000"/>
        </w:rPr>
        <w:t>SzynaIntegr</w:t>
      </w:r>
      <w:r>
        <w:rPr/>
        <w:t xml:space="preserve">\AdresPI, </w:t>
      </w:r>
    </w:p>
    <w:p>
      <w:pPr>
        <w:pStyle w:val="ListParagraph"/>
        <w:tabs>
          <w:tab w:val="clear" w:pos="708"/>
          <w:tab w:val="left" w:pos="993" w:leader="none"/>
        </w:tabs>
        <w:rPr/>
      </w:pPr>
      <w:r>
        <w:rPr/>
        <w:t>- dot. AUTORYZACJI (wraz z punktami autoryzacji:  MAMMOGRAFIA_ANKIETA, MAMMOGRAFIA_WYNIK, KARTA_CHUK)</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Nadanie uprawnienia: 10892 – „Eksport danych do SIMP” (w kontekście jednostki ewidencjonującej realizację programu profilaktycznego) każdemu użytkownikowi, który będzie eksportował dane do SIMP.</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11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Konfiguracja dokumentacji medycznej w zakresie dostępności Karty ChUK i Ankiety mammograficznej w danym JOS (klasa dokumentu: ANKIETA_MAMMOGRAFICZNA, KARTA_CHUK).</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11.Ankieta Endoprotezoplastyk</w:t>
      </w:r>
    </w:p>
    <w:p>
      <w:pPr>
        <w:pStyle w:val="ListParagraph"/>
        <w:pBdr>
          <w:bottom w:val="single" w:sz="12" w:space="1" w:color="000000"/>
        </w:pBdr>
        <w:spacing w:lineRule="auto" w:line="240"/>
        <w:ind w:lef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63"/>
        </w:numPr>
        <w:tabs>
          <w:tab w:val="clear" w:pos="708"/>
          <w:tab w:val="left" w:pos="993" w:leader="none"/>
        </w:tabs>
        <w:spacing w:lineRule="auto" w:line="259" w:before="0" w:after="160"/>
        <w:contextualSpacing/>
        <w:jc w:val="both"/>
        <w:rPr>
          <w:b/>
          <w:bCs/>
        </w:rPr>
      </w:pPr>
      <w:r>
        <w:rPr>
          <w:b/>
          <w:bCs/>
        </w:rPr>
        <w:t>Wymagania funkcjonalne</w:t>
      </w:r>
    </w:p>
    <w:p>
      <w:pPr>
        <w:pStyle w:val="ListParagraph"/>
        <w:numPr>
          <w:ilvl w:val="0"/>
          <w:numId w:val="113"/>
        </w:numPr>
        <w:tabs>
          <w:tab w:val="clear" w:pos="708"/>
          <w:tab w:val="left" w:pos="993" w:leader="none"/>
        </w:tabs>
        <w:spacing w:lineRule="auto" w:line="259" w:before="0" w:after="160"/>
        <w:contextualSpacing/>
        <w:jc w:val="both"/>
        <w:rPr/>
      </w:pPr>
      <w:r>
        <w:rPr/>
        <w:t>System musi zapewniać ewidencję danych Ankiety endoprotezoplastyki – pełnej.</w:t>
      </w:r>
    </w:p>
    <w:p>
      <w:pPr>
        <w:pStyle w:val="ListParagraph"/>
        <w:numPr>
          <w:ilvl w:val="1"/>
          <w:numId w:val="113"/>
        </w:numPr>
        <w:tabs>
          <w:tab w:val="clear" w:pos="708"/>
          <w:tab w:val="left" w:pos="993" w:leader="none"/>
        </w:tabs>
        <w:spacing w:lineRule="auto" w:line="259" w:before="0" w:after="160"/>
        <w:contextualSpacing/>
        <w:jc w:val="both"/>
        <w:rPr/>
      </w:pPr>
      <w:r>
        <w:rPr/>
        <w:t>Ewidencja 3 rodzajów Ankiety pełnej tj. rozliczeniowa, rozliczeniowa - inna grupa JGP, statystyczna.</w:t>
      </w:r>
    </w:p>
    <w:p>
      <w:pPr>
        <w:pStyle w:val="ListParagraph"/>
        <w:numPr>
          <w:ilvl w:val="1"/>
          <w:numId w:val="113"/>
        </w:numPr>
        <w:tabs>
          <w:tab w:val="clear" w:pos="708"/>
          <w:tab w:val="left" w:pos="993" w:leader="none"/>
        </w:tabs>
        <w:spacing w:lineRule="auto" w:line="259" w:before="0" w:after="160"/>
        <w:contextualSpacing/>
        <w:jc w:val="both"/>
        <w:rPr/>
      </w:pPr>
      <w:r>
        <w:rPr/>
        <w:t>Kopiowanie leków stale przyjmowanych, podanych, wystawionych na recepcie, kopiowanie zaleceń lekarskich, wystawionych skierowań na rehabilitację w ramach pobytu pacjenta w szpitalu.</w:t>
      </w:r>
    </w:p>
    <w:p>
      <w:pPr>
        <w:pStyle w:val="ListParagraph"/>
        <w:numPr>
          <w:ilvl w:val="1"/>
          <w:numId w:val="113"/>
        </w:numPr>
        <w:tabs>
          <w:tab w:val="clear" w:pos="708"/>
          <w:tab w:val="left" w:pos="993" w:leader="none"/>
        </w:tabs>
        <w:spacing w:lineRule="auto" w:line="259" w:before="0" w:after="160"/>
        <w:contextualSpacing/>
        <w:jc w:val="both"/>
        <w:rPr/>
      </w:pPr>
      <w:r>
        <w:rPr/>
        <w:t xml:space="preserve">Podpowiadanie danych w Ankiecie endoprotezoplastyki dotyczących poprzedniego </w:t>
        <w:br/>
        <w:t>i następnego pobytu, jednostkowych danych medycznych (waga, wzrost, BMI), daty operacji i operatora, daty operacji pierwotnej i miejsca wykonania.</w:t>
      </w:r>
    </w:p>
    <w:p>
      <w:pPr>
        <w:pStyle w:val="ListParagraph"/>
        <w:numPr>
          <w:ilvl w:val="1"/>
          <w:numId w:val="113"/>
        </w:numPr>
        <w:tabs>
          <w:tab w:val="clear" w:pos="708"/>
          <w:tab w:val="left" w:pos="993" w:leader="none"/>
        </w:tabs>
        <w:spacing w:lineRule="auto" w:line="259" w:before="0" w:after="160"/>
        <w:contextualSpacing/>
        <w:jc w:val="both"/>
        <w:rPr/>
      </w:pPr>
      <w:r>
        <w:rPr/>
        <w:t>Autoryzowanie danych oraz podpisanie w postaci elektronicznej Ankiety endoprotezoplastyki.</w:t>
      </w:r>
    </w:p>
    <w:p>
      <w:pPr>
        <w:pStyle w:val="ListParagraph"/>
        <w:numPr>
          <w:ilvl w:val="0"/>
          <w:numId w:val="113"/>
        </w:numPr>
        <w:tabs>
          <w:tab w:val="clear" w:pos="708"/>
          <w:tab w:val="left" w:pos="993" w:leader="none"/>
        </w:tabs>
        <w:spacing w:lineRule="auto" w:line="259" w:before="0" w:after="160"/>
        <w:contextualSpacing/>
        <w:jc w:val="both"/>
        <w:rPr/>
      </w:pPr>
      <w:r>
        <w:rPr/>
        <w:t>System musi zapewniać komunikację z systemem Rejestr Endoprotezoplastyki (RE) prowadzonym przez NFZ.</w:t>
      </w:r>
    </w:p>
    <w:p>
      <w:pPr>
        <w:pStyle w:val="ListParagraph"/>
        <w:numPr>
          <w:ilvl w:val="1"/>
          <w:numId w:val="113"/>
        </w:numPr>
        <w:tabs>
          <w:tab w:val="clear" w:pos="708"/>
          <w:tab w:val="left" w:pos="993" w:leader="none"/>
        </w:tabs>
        <w:spacing w:lineRule="auto" w:line="259" w:before="0" w:after="160"/>
        <w:contextualSpacing/>
        <w:jc w:val="both"/>
        <w:rPr/>
      </w:pPr>
      <w:r>
        <w:rPr/>
        <w:t>Logowanie do RE, w celu uwierzytelnienia i autoryzacji.</w:t>
      </w:r>
    </w:p>
    <w:p>
      <w:pPr>
        <w:pStyle w:val="ListParagraph"/>
        <w:numPr>
          <w:ilvl w:val="1"/>
          <w:numId w:val="113"/>
        </w:numPr>
        <w:tabs>
          <w:tab w:val="clear" w:pos="708"/>
          <w:tab w:val="left" w:pos="993" w:leader="none"/>
        </w:tabs>
        <w:spacing w:lineRule="auto" w:line="259" w:before="0" w:after="160"/>
        <w:contextualSpacing/>
        <w:jc w:val="both"/>
        <w:rPr/>
      </w:pPr>
      <w:r>
        <w:rPr/>
        <w:t>Wysyłka Ankiety endoprotezoplastyki - pełnej w wersji roboczej oraz oficjalnej.</w:t>
      </w:r>
    </w:p>
    <w:p>
      <w:pPr>
        <w:pStyle w:val="ListParagraph"/>
        <w:numPr>
          <w:ilvl w:val="1"/>
          <w:numId w:val="113"/>
        </w:numPr>
        <w:tabs>
          <w:tab w:val="clear" w:pos="708"/>
          <w:tab w:val="left" w:pos="993" w:leader="none"/>
        </w:tabs>
        <w:spacing w:lineRule="auto" w:line="259" w:before="0" w:after="160"/>
        <w:contextualSpacing/>
        <w:jc w:val="both"/>
        <w:rPr/>
      </w:pPr>
      <w:r>
        <w:rPr/>
        <w:t>Obsługa błędów z RE.</w:t>
      </w:r>
    </w:p>
    <w:p>
      <w:pPr>
        <w:pStyle w:val="ListParagraph"/>
        <w:numPr>
          <w:ilvl w:val="1"/>
          <w:numId w:val="113"/>
        </w:numPr>
        <w:tabs>
          <w:tab w:val="clear" w:pos="708"/>
          <w:tab w:val="left" w:pos="993" w:leader="none"/>
        </w:tabs>
        <w:spacing w:lineRule="auto" w:line="259" w:before="0" w:after="160"/>
        <w:contextualSpacing/>
        <w:jc w:val="both"/>
        <w:rPr/>
      </w:pPr>
      <w:r>
        <w:rPr/>
        <w:t>Wysyłka korekty Ankiety endoprotezoplastyki – pełnej.</w:t>
      </w:r>
    </w:p>
    <w:p>
      <w:pPr>
        <w:pStyle w:val="ListParagraph"/>
        <w:numPr>
          <w:ilvl w:val="1"/>
          <w:numId w:val="113"/>
        </w:numPr>
        <w:tabs>
          <w:tab w:val="clear" w:pos="708"/>
          <w:tab w:val="left" w:pos="993" w:leader="none"/>
        </w:tabs>
        <w:spacing w:lineRule="auto" w:line="259" w:before="0" w:after="160"/>
        <w:contextualSpacing/>
        <w:jc w:val="both"/>
        <w:rPr/>
      </w:pPr>
      <w:r>
        <w:rPr/>
        <w:t>Wysyłka anulowania wersji roboczej Ankiety endoprotezoplastyki - pełnej w RE.</w:t>
      </w:r>
    </w:p>
    <w:p>
      <w:pPr>
        <w:pStyle w:val="ListParagraph"/>
        <w:numPr>
          <w:ilvl w:val="1"/>
          <w:numId w:val="113"/>
        </w:numPr>
        <w:tabs>
          <w:tab w:val="clear" w:pos="708"/>
          <w:tab w:val="left" w:pos="993" w:leader="none"/>
        </w:tabs>
        <w:spacing w:lineRule="auto" w:line="259" w:before="0" w:after="160"/>
        <w:contextualSpacing/>
        <w:jc w:val="both"/>
        <w:rPr/>
      </w:pPr>
      <w:r>
        <w:rPr/>
        <w:t>Import słowników z systemu RE.</w:t>
      </w:r>
    </w:p>
    <w:p>
      <w:pPr>
        <w:pStyle w:val="Normal"/>
        <w:numPr>
          <w:ilvl w:val="0"/>
          <w:numId w:val="59"/>
        </w:numPr>
        <w:tabs>
          <w:tab w:val="clear" w:pos="708"/>
          <w:tab w:val="left" w:pos="993" w:leader="none"/>
        </w:tabs>
        <w:spacing w:lineRule="auto" w:line="259" w:before="0" w:after="160"/>
        <w:rPr/>
      </w:pPr>
      <w:r>
        <w:rPr>
          <w:b/>
          <w:bCs/>
        </w:rPr>
        <w:t>Integracje (wewnętrzne oraz zewnętrzne):</w:t>
      </w:r>
    </w:p>
    <w:p>
      <w:pPr>
        <w:pStyle w:val="ListParagraph"/>
        <w:numPr>
          <w:ilvl w:val="0"/>
          <w:numId w:val="99"/>
        </w:numPr>
        <w:tabs>
          <w:tab w:val="clear" w:pos="708"/>
          <w:tab w:val="left" w:pos="993" w:leader="none"/>
        </w:tabs>
        <w:spacing w:lineRule="auto" w:line="259" w:before="0" w:after="160"/>
        <w:contextualSpacing/>
        <w:rPr/>
      </w:pPr>
      <w:r>
        <w:rPr/>
        <w:t xml:space="preserve">Wewnętrzne: </w:t>
      </w:r>
    </w:p>
    <w:p>
      <w:pPr>
        <w:pStyle w:val="ListParagraph"/>
        <w:numPr>
          <w:ilvl w:val="1"/>
          <w:numId w:val="99"/>
        </w:numPr>
        <w:tabs>
          <w:tab w:val="clear" w:pos="708"/>
          <w:tab w:val="left" w:pos="993" w:leader="none"/>
        </w:tabs>
        <w:spacing w:lineRule="auto" w:line="259" w:before="0" w:after="160"/>
        <w:contextualSpacing/>
        <w:rPr/>
      </w:pPr>
      <w:r>
        <w:rPr/>
        <w:t>Brak.</w:t>
      </w:r>
    </w:p>
    <w:p>
      <w:pPr>
        <w:pStyle w:val="ListParagraph"/>
        <w:numPr>
          <w:ilvl w:val="0"/>
          <w:numId w:val="99"/>
        </w:numPr>
        <w:tabs>
          <w:tab w:val="clear" w:pos="708"/>
          <w:tab w:val="left" w:pos="993" w:leader="none"/>
        </w:tabs>
        <w:spacing w:lineRule="auto" w:line="259" w:before="0" w:after="160"/>
        <w:contextualSpacing/>
        <w:rPr/>
      </w:pPr>
      <w:r>
        <w:rPr/>
        <w:t>Zewnętrzne:</w:t>
      </w:r>
    </w:p>
    <w:p>
      <w:pPr>
        <w:pStyle w:val="ListParagraph"/>
        <w:numPr>
          <w:ilvl w:val="1"/>
          <w:numId w:val="99"/>
        </w:numPr>
        <w:tabs>
          <w:tab w:val="clear" w:pos="708"/>
          <w:tab w:val="left" w:pos="993" w:leader="none"/>
        </w:tabs>
        <w:spacing w:lineRule="auto" w:line="259" w:before="0" w:after="160"/>
        <w:contextualSpacing/>
        <w:rPr/>
      </w:pPr>
      <w:r>
        <w:rPr/>
        <w:t>Produkt integruje się z zewnętrznym systemem Rejestr Endoprotezoplastyki (RE) w celu przekazywania danych dot. wszczepów endoprotez stawowych.</w:t>
      </w:r>
    </w:p>
    <w:p>
      <w:pPr>
        <w:pStyle w:val="ListParagraph"/>
        <w:numPr>
          <w:ilvl w:val="1"/>
          <w:numId w:val="99"/>
        </w:numPr>
        <w:tabs>
          <w:tab w:val="clear" w:pos="708"/>
          <w:tab w:val="left" w:pos="993" w:leader="none"/>
        </w:tabs>
        <w:spacing w:lineRule="auto" w:line="259" w:before="0" w:after="160"/>
        <w:contextualSpacing/>
        <w:rPr/>
      </w:pPr>
      <w:r>
        <w:rPr/>
        <w:t xml:space="preserve">Komunikacja z systemem RE odbywa się poprzez API SOAP oraz platformę integracyjną HIS – moduł ENDO. </w:t>
      </w:r>
    </w:p>
    <w:p>
      <w:pPr>
        <w:pStyle w:val="ListParagraph"/>
        <w:numPr>
          <w:ilvl w:val="1"/>
          <w:numId w:val="99"/>
        </w:numPr>
        <w:tabs>
          <w:tab w:val="clear" w:pos="708"/>
          <w:tab w:val="left" w:pos="993" w:leader="none"/>
        </w:tabs>
        <w:spacing w:lineRule="auto" w:line="259" w:before="0" w:after="160"/>
        <w:contextualSpacing/>
        <w:rPr/>
      </w:pPr>
      <w:r>
        <w:rPr>
          <w:rFonts w:cs="Calibri" w:cstheme="minorHAnsi"/>
        </w:rPr>
        <w:t>Zawartość ankiety przekazywana jest za pośrednictwem usług udostępnionych przez NFZ w formie dokumentu XML.</w:t>
      </w:r>
    </w:p>
    <w:p>
      <w:pPr>
        <w:pStyle w:val="Normal"/>
        <w:numPr>
          <w:ilvl w:val="0"/>
          <w:numId w:val="59"/>
        </w:numPr>
        <w:tabs>
          <w:tab w:val="clear" w:pos="708"/>
          <w:tab w:val="left" w:pos="993" w:leader="none"/>
        </w:tabs>
        <w:spacing w:lineRule="auto" w:line="259" w:before="0" w:after="160"/>
        <w:rPr/>
      </w:pPr>
      <w:r>
        <w:rPr>
          <w:b/>
          <w:bCs/>
        </w:rPr>
        <w:t>Zależności między modułami:</w:t>
      </w:r>
    </w:p>
    <w:p>
      <w:pPr>
        <w:pStyle w:val="ListParagraph"/>
        <w:numPr>
          <w:ilvl w:val="0"/>
          <w:numId w:val="114"/>
        </w:numPr>
        <w:tabs>
          <w:tab w:val="clear" w:pos="708"/>
          <w:tab w:val="left" w:pos="993" w:leader="none"/>
        </w:tabs>
        <w:spacing w:lineRule="auto" w:line="259" w:before="0" w:after="160"/>
        <w:contextualSpacing/>
        <w:jc w:val="both"/>
        <w:rPr/>
      </w:pPr>
      <w:r>
        <w:rPr/>
        <w:t>Funkcjonalność korzysta z danych hospitalizacji pacjenta m.in. w zakresie danych przyjęcia do szpitala (skierowanie, tryb przyjęcia), wyników badań, podań leków, zleceń/recept na produkty lecznicze, zaleceń lekarskich, skierowań na rehabilitację wprowadzonych w modułach Izba Przyjęć HIS oraz Oddział HIS.</w:t>
      </w:r>
    </w:p>
    <w:p>
      <w:pPr>
        <w:pStyle w:val="ListParagraph"/>
        <w:numPr>
          <w:ilvl w:val="0"/>
          <w:numId w:val="114"/>
        </w:numPr>
        <w:tabs>
          <w:tab w:val="clear" w:pos="708"/>
          <w:tab w:val="left" w:pos="993" w:leader="none"/>
        </w:tabs>
        <w:spacing w:lineRule="auto" w:line="259" w:before="0" w:after="160"/>
        <w:contextualSpacing/>
        <w:jc w:val="both"/>
        <w:rPr/>
      </w:pPr>
      <w:r>
        <w:rPr/>
        <w:t xml:space="preserve">Funkcjonalność korzysta z danych dot. zabiegu endoprotezoplastyki rejestrowanych </w:t>
        <w:br/>
        <w:t>w modułach Blok operacyjny HIS lub Oddział HIS.</w:t>
      </w:r>
    </w:p>
    <w:p>
      <w:pPr>
        <w:pStyle w:val="ListParagraph"/>
        <w:numPr>
          <w:ilvl w:val="0"/>
          <w:numId w:val="114"/>
        </w:numPr>
        <w:tabs>
          <w:tab w:val="clear" w:pos="708"/>
          <w:tab w:val="left" w:pos="993" w:leader="none"/>
        </w:tabs>
        <w:spacing w:lineRule="auto" w:line="259" w:before="0" w:after="160"/>
        <w:contextualSpacing/>
        <w:jc w:val="both"/>
        <w:rPr/>
      </w:pPr>
      <w:r>
        <w:rPr/>
        <w:t>Zbiorczy podgląd ankiet możliwy jest z poziomu modułów Oddział HIS oraz Statystyka RCH HIS.</w:t>
      </w:r>
    </w:p>
    <w:p>
      <w:pPr>
        <w:pStyle w:val="ListParagraph"/>
        <w:numPr>
          <w:ilvl w:val="0"/>
          <w:numId w:val="114"/>
        </w:numPr>
        <w:tabs>
          <w:tab w:val="clear" w:pos="708"/>
          <w:tab w:val="left" w:pos="993" w:leader="none"/>
        </w:tabs>
        <w:spacing w:lineRule="auto" w:line="259" w:before="0" w:after="160"/>
        <w:contextualSpacing/>
        <w:jc w:val="both"/>
        <w:rPr/>
      </w:pPr>
      <w:r>
        <w:rPr/>
        <w:t>Integracja z systemem RE oparta jest o konfigurację komunikacji z NFZ określoną w module Panel administracyjny HIS.</w:t>
      </w:r>
    </w:p>
    <w:p>
      <w:pPr>
        <w:pStyle w:val="ListParagraph"/>
        <w:tabs>
          <w:tab w:val="clear" w:pos="708"/>
          <w:tab w:val="left" w:pos="993" w:leader="none"/>
        </w:tabs>
        <w:ind w:left="360"/>
        <w:jc w:val="both"/>
        <w:rPr/>
      </w:pPr>
      <w:r>
        <w:rPr/>
      </w:r>
    </w:p>
    <w:p>
      <w:pPr>
        <w:pStyle w:val="ListParagraph"/>
        <w:pBdr>
          <w:bottom w:val="single" w:sz="12" w:space="1" w:color="000000"/>
        </w:pBdr>
        <w:spacing w:lineRule="auto" w:line="240"/>
        <w:ind w:left="0"/>
        <w:jc w:val="both"/>
        <w:rPr>
          <w:b/>
          <w:bCs/>
          <w:sz w:val="28"/>
          <w:szCs w:val="24"/>
        </w:rPr>
      </w:pPr>
      <w:r>
        <w:rPr>
          <w:b/>
          <w:bCs/>
          <w:sz w:val="28"/>
          <w:szCs w:val="24"/>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left="567"/>
        <w:jc w:val="both"/>
        <w:rPr/>
      </w:pPr>
      <w:r>
        <w:rPr/>
        <w:t>Produkt zostanie uznany za zgodny funkcjonalnie, jeśli:</w:t>
      </w:r>
    </w:p>
    <w:p>
      <w:pPr>
        <w:pStyle w:val="ListParagraph"/>
        <w:numPr>
          <w:ilvl w:val="0"/>
          <w:numId w:val="101"/>
        </w:numPr>
        <w:tabs>
          <w:tab w:val="clear" w:pos="708"/>
          <w:tab w:val="left" w:pos="993" w:leader="none"/>
        </w:tabs>
        <w:spacing w:lineRule="auto" w:line="259" w:before="0" w:after="160"/>
        <w:contextualSpacing/>
        <w:jc w:val="both"/>
        <w:rPr/>
      </w:pPr>
      <w:r>
        <w:rPr/>
        <w:t xml:space="preserve">Umożliwia tworzenie, edycję Ankiety endoprotezoplastyki – pełnej w 3 rodzajach </w:t>
        <w:br/>
        <w:t>tj. rozliczeniowa, rozliczeniowa – inna grupa JGP, statystyczna.</w:t>
      </w:r>
    </w:p>
    <w:p>
      <w:pPr>
        <w:pStyle w:val="ListParagraph"/>
        <w:numPr>
          <w:ilvl w:val="0"/>
          <w:numId w:val="101"/>
        </w:numPr>
        <w:tabs>
          <w:tab w:val="clear" w:pos="708"/>
          <w:tab w:val="left" w:pos="993" w:leader="none"/>
        </w:tabs>
        <w:spacing w:lineRule="auto" w:line="259" w:before="0" w:after="160"/>
        <w:contextualSpacing/>
        <w:jc w:val="both"/>
        <w:rPr/>
      </w:pPr>
      <w:r>
        <w:rPr/>
        <w:t>Umożliwia kopiowanie leków stale przyjmowanych, podanych, wystawionych na recepcie, kopiowanie zaleceń lekarskich, wystawionych skierowań na rehabilitację w ramach pobytu pacjenta w szpitalu.</w:t>
      </w:r>
    </w:p>
    <w:p>
      <w:pPr>
        <w:pStyle w:val="ListParagraph"/>
        <w:numPr>
          <w:ilvl w:val="0"/>
          <w:numId w:val="101"/>
        </w:numPr>
        <w:tabs>
          <w:tab w:val="clear" w:pos="708"/>
          <w:tab w:val="left" w:pos="993" w:leader="none"/>
        </w:tabs>
        <w:spacing w:lineRule="auto" w:line="259" w:before="0" w:after="160"/>
        <w:contextualSpacing/>
        <w:jc w:val="both"/>
        <w:rPr/>
      </w:pPr>
      <w:r>
        <w:rPr/>
        <w:t>Podpowiadane są dane dotyczące poprzedniego i następnego pobytu, wyników pomiarów (waga, wzrost, BMI), daty operacji i operatora, daty operacji pierwotnej i miejsca wykonania.</w:t>
      </w:r>
    </w:p>
    <w:p>
      <w:pPr>
        <w:pStyle w:val="ListParagraph"/>
        <w:numPr>
          <w:ilvl w:val="0"/>
          <w:numId w:val="101"/>
        </w:numPr>
        <w:tabs>
          <w:tab w:val="clear" w:pos="708"/>
          <w:tab w:val="left" w:pos="993" w:leader="none"/>
        </w:tabs>
        <w:spacing w:lineRule="auto" w:line="259" w:before="0" w:after="160"/>
        <w:contextualSpacing/>
        <w:jc w:val="both"/>
        <w:rPr/>
      </w:pPr>
      <w:r>
        <w:rPr/>
        <w:t>Umożliwia autoryzację danych oraz podpisanie Ankiety endoprotezoplastyki.</w:t>
      </w:r>
    </w:p>
    <w:p>
      <w:pPr>
        <w:pStyle w:val="ListParagraph"/>
        <w:numPr>
          <w:ilvl w:val="0"/>
          <w:numId w:val="101"/>
        </w:numPr>
        <w:tabs>
          <w:tab w:val="clear" w:pos="708"/>
          <w:tab w:val="left" w:pos="993" w:leader="none"/>
        </w:tabs>
        <w:spacing w:lineRule="auto" w:line="259" w:before="0" w:after="160"/>
        <w:contextualSpacing/>
        <w:jc w:val="both"/>
        <w:rPr/>
      </w:pPr>
      <w:r>
        <w:rPr/>
        <w:t>Zapewnia komunikację z systemem Rejestr Endoprotezoplastyki (RE).</w:t>
      </w:r>
    </w:p>
    <w:p>
      <w:pPr>
        <w:pStyle w:val="ListParagraph"/>
        <w:numPr>
          <w:ilvl w:val="0"/>
          <w:numId w:val="101"/>
        </w:numPr>
        <w:tabs>
          <w:tab w:val="clear" w:pos="708"/>
          <w:tab w:val="left" w:pos="993" w:leader="none"/>
        </w:tabs>
        <w:spacing w:lineRule="auto" w:line="259" w:before="0" w:after="160"/>
        <w:contextualSpacing/>
        <w:jc w:val="both"/>
        <w:rPr/>
      </w:pPr>
      <w:r>
        <w:rPr/>
        <w:t>Umożliwia wysyłkę Ankiety w wersji roboczej oraz oficjalnej.</w:t>
      </w:r>
    </w:p>
    <w:p>
      <w:pPr>
        <w:pStyle w:val="ListParagraph"/>
        <w:numPr>
          <w:ilvl w:val="0"/>
          <w:numId w:val="101"/>
        </w:numPr>
        <w:tabs>
          <w:tab w:val="clear" w:pos="708"/>
          <w:tab w:val="left" w:pos="993" w:leader="none"/>
        </w:tabs>
        <w:spacing w:lineRule="auto" w:line="259" w:before="0" w:after="160"/>
        <w:contextualSpacing/>
        <w:jc w:val="both"/>
        <w:rPr/>
      </w:pPr>
      <w:r>
        <w:rPr/>
        <w:t>Poprawnie prezentuje wynik komunikacji z systemu RE.</w:t>
      </w:r>
    </w:p>
    <w:p>
      <w:pPr>
        <w:pStyle w:val="ListParagraph"/>
        <w:numPr>
          <w:ilvl w:val="0"/>
          <w:numId w:val="101"/>
        </w:numPr>
        <w:tabs>
          <w:tab w:val="clear" w:pos="708"/>
          <w:tab w:val="left" w:pos="993" w:leader="none"/>
        </w:tabs>
        <w:spacing w:lineRule="auto" w:line="259" w:before="0" w:after="160"/>
        <w:contextualSpacing/>
        <w:jc w:val="both"/>
        <w:rPr/>
      </w:pPr>
      <w:r>
        <w:rPr/>
        <w:t>Umożliwia wysyłkę korekty Ankiety.</w:t>
      </w:r>
    </w:p>
    <w:p>
      <w:pPr>
        <w:pStyle w:val="ListParagraph"/>
        <w:numPr>
          <w:ilvl w:val="0"/>
          <w:numId w:val="101"/>
        </w:numPr>
        <w:tabs>
          <w:tab w:val="clear" w:pos="708"/>
          <w:tab w:val="left" w:pos="993" w:leader="none"/>
        </w:tabs>
        <w:spacing w:lineRule="auto" w:line="259" w:before="0" w:after="160"/>
        <w:contextualSpacing/>
        <w:jc w:val="both"/>
        <w:rPr/>
      </w:pPr>
      <w:r>
        <w:rPr/>
        <w:t>Umożliwia anulowanie wersji roboczej dokumentu.</w:t>
      </w:r>
    </w:p>
    <w:p>
      <w:pPr>
        <w:pStyle w:val="ListParagraph"/>
        <w:numPr>
          <w:ilvl w:val="0"/>
          <w:numId w:val="101"/>
        </w:numPr>
        <w:tabs>
          <w:tab w:val="clear" w:pos="708"/>
          <w:tab w:val="left" w:pos="993" w:leader="none"/>
        </w:tabs>
        <w:spacing w:lineRule="auto" w:line="259" w:before="0" w:after="160"/>
        <w:contextualSpacing/>
        <w:jc w:val="both"/>
        <w:rPr/>
      </w:pPr>
      <w:r>
        <w:rPr/>
        <w:t>Obsługuje import słowników z systemu RE.</w:t>
      </w:r>
    </w:p>
    <w:p>
      <w:pPr>
        <w:pStyle w:val="ListParagraph"/>
        <w:numPr>
          <w:ilvl w:val="0"/>
          <w:numId w:val="101"/>
        </w:numPr>
        <w:tabs>
          <w:tab w:val="clear" w:pos="708"/>
          <w:tab w:val="left" w:pos="993" w:leader="none"/>
        </w:tabs>
        <w:spacing w:lineRule="auto" w:line="259" w:before="0" w:after="160"/>
        <w:contextualSpacing/>
        <w:jc w:val="both"/>
        <w:rPr/>
      </w:pPr>
      <w:r>
        <w:rPr/>
        <w:t>Umożliwia zbiorczy przegląd Ankiet endoprotezoplastyki.</w:t>
      </w:r>
    </w:p>
    <w:p>
      <w:pPr>
        <w:pStyle w:val="ListParagraph"/>
        <w:pBdr>
          <w:bottom w:val="single" w:sz="12" w:space="1" w:color="000000"/>
        </w:pBdr>
        <w:spacing w:lineRule="auto" w:line="240"/>
        <w:ind w:left="0"/>
        <w:jc w:val="both"/>
        <w:rPr>
          <w:b/>
          <w:bCs/>
          <w:sz w:val="28"/>
          <w:szCs w:val="24"/>
        </w:rPr>
      </w:pPr>
      <w:r>
        <w:rPr>
          <w:b/>
          <w:bCs/>
          <w:sz w:val="28"/>
          <w:szCs w:val="24"/>
        </w:rPr>
      </w:r>
    </w:p>
    <w:p>
      <w:pPr>
        <w:pStyle w:val="ListParagraph"/>
        <w:pBdr>
          <w:bottom w:val="single" w:sz="12" w:space="1" w:color="000000"/>
        </w:pBdr>
        <w:spacing w:lineRule="auto" w:line="240"/>
        <w:ind w:lef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61"/>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115"/>
        </w:numPr>
        <w:spacing w:lineRule="auto" w:line="240" w:before="0" w:after="0"/>
        <w:contextualSpacing/>
        <w:rPr/>
      </w:pPr>
      <w:r>
        <w:rPr/>
        <w:t xml:space="preserve">Licencja: ANKIETA_ENDO. </w:t>
      </w:r>
    </w:p>
    <w:p>
      <w:pPr>
        <w:pStyle w:val="ListParagraph"/>
        <w:numPr>
          <w:ilvl w:val="0"/>
          <w:numId w:val="115"/>
        </w:numPr>
        <w:spacing w:lineRule="auto" w:line="240" w:before="0" w:after="0"/>
        <w:contextualSpacing/>
        <w:rPr/>
      </w:pPr>
      <w:r>
        <w:rPr/>
        <w:t>Działająca komunikacja z NFZ.</w:t>
      </w:r>
    </w:p>
    <w:p>
      <w:pPr>
        <w:pStyle w:val="ListParagraph"/>
        <w:numPr>
          <w:ilvl w:val="0"/>
          <w:numId w:val="115"/>
        </w:numPr>
        <w:spacing w:lineRule="auto" w:line="240" w:before="0" w:after="0"/>
        <w:contextualSpacing/>
        <w:rPr/>
      </w:pPr>
      <w:r>
        <w:rPr/>
        <w:t>Prawidłowo skonfigurowane logowanie do NFZ.</w:t>
      </w:r>
    </w:p>
    <w:p>
      <w:pPr>
        <w:pStyle w:val="ListParagraph"/>
        <w:numPr>
          <w:ilvl w:val="0"/>
          <w:numId w:val="115"/>
        </w:numPr>
        <w:spacing w:lineRule="auto" w:line="240" w:before="0" w:after="0"/>
        <w:contextualSpacing/>
        <w:rPr/>
      </w:pPr>
      <w:r>
        <w:rPr/>
        <w:t>Import słowników z RE.</w:t>
      </w:r>
    </w:p>
    <w:p>
      <w:pPr>
        <w:pStyle w:val="ListParagraph"/>
        <w:spacing w:lineRule="auto" w:line="240" w:before="0" w:after="0"/>
        <w:ind w:left="360"/>
        <w:contextualSpacing/>
        <w:rPr/>
      </w:pPr>
      <w:r>
        <w:rPr/>
      </w:r>
    </w:p>
    <w:p>
      <w:pPr>
        <w:pStyle w:val="Normal"/>
        <w:numPr>
          <w:ilvl w:val="0"/>
          <w:numId w:val="61"/>
        </w:numPr>
        <w:tabs>
          <w:tab w:val="clear" w:pos="708"/>
          <w:tab w:val="left" w:pos="993" w:leader="none"/>
        </w:tabs>
        <w:spacing w:lineRule="auto" w:line="259" w:before="0" w:after="160"/>
        <w:rPr>
          <w:b/>
          <w:bCs/>
        </w:rPr>
      </w:pPr>
      <w:r>
        <w:rPr>
          <w:b/>
          <w:bCs/>
        </w:rPr>
        <w:t>Wymagania techniczne:</w:t>
      </w:r>
    </w:p>
    <w:p>
      <w:pPr>
        <w:pStyle w:val="ListParagraph"/>
        <w:numPr>
          <w:ilvl w:val="0"/>
          <w:numId w:val="117"/>
        </w:numPr>
        <w:spacing w:lineRule="auto" w:line="240" w:before="0" w:after="0"/>
        <w:contextualSpacing/>
        <w:rPr/>
      </w:pPr>
      <w:r>
        <w:rPr/>
        <w:t>Instalacja Platformy Integracyjnej – moduł ENDO.</w:t>
      </w:r>
    </w:p>
    <w:p>
      <w:pPr>
        <w:pStyle w:val="Normal"/>
        <w:tabs>
          <w:tab w:val="clear" w:pos="708"/>
          <w:tab w:val="left" w:pos="993" w:leader="none"/>
        </w:tabs>
        <w:spacing w:lineRule="auto" w:line="240" w:before="0" w:after="0"/>
        <w:rPr>
          <w:highlight w:val="yellow"/>
        </w:rPr>
      </w:pPr>
      <w:r>
        <w:rPr>
          <w:highlight w:val="yellow"/>
        </w:rPr>
      </w:r>
    </w:p>
    <w:p>
      <w:pPr>
        <w:pStyle w:val="Normal"/>
        <w:numPr>
          <w:ilvl w:val="0"/>
          <w:numId w:val="61"/>
        </w:numPr>
        <w:tabs>
          <w:tab w:val="clear" w:pos="708"/>
          <w:tab w:val="left" w:pos="993" w:leader="none"/>
        </w:tabs>
        <w:spacing w:lineRule="auto" w:line="259" w:before="0" w:after="160"/>
        <w:rPr/>
      </w:pPr>
      <w:r>
        <w:rPr>
          <w:b/>
          <w:bCs/>
        </w:rPr>
        <w:t>Wymagania organizacyjne:</w:t>
      </w:r>
    </w:p>
    <w:p>
      <w:pPr>
        <w:pStyle w:val="ListParagraph"/>
        <w:numPr>
          <w:ilvl w:val="0"/>
          <w:numId w:val="116"/>
        </w:numPr>
        <w:tabs>
          <w:tab w:val="clear" w:pos="708"/>
          <w:tab w:val="left" w:pos="993" w:leader="none"/>
        </w:tabs>
        <w:spacing w:lineRule="auto" w:line="259" w:before="0" w:after="160"/>
        <w:contextualSpacing/>
        <w:jc w:val="both"/>
        <w:rPr/>
      </w:pPr>
      <w:r>
        <w:rPr/>
        <w:t>Ankiety pełne dotyczą wszczepów realizowanych w ramach umowy z NFZ. Jednostka musi mieć aktywną umowę z NFZ w zakresie realizacji endoprotez stawowych.</w:t>
      </w:r>
    </w:p>
    <w:p>
      <w:pPr>
        <w:pStyle w:val="ListParagraph"/>
        <w:numPr>
          <w:ilvl w:val="0"/>
          <w:numId w:val="116"/>
        </w:numPr>
        <w:tabs>
          <w:tab w:val="clear" w:pos="708"/>
          <w:tab w:val="left" w:pos="993" w:leader="none"/>
        </w:tabs>
        <w:spacing w:lineRule="auto" w:line="259" w:before="0" w:after="160"/>
        <w:contextualSpacing/>
        <w:jc w:val="both"/>
        <w:rPr/>
      </w:pPr>
      <w:r>
        <w:rPr/>
        <w:t>Nadanie uprawnień operatorom – administratorom w Portalu SZOI/Portalu Świadczeniodawcy oraz nadanie uprawnień operatorom w systemie centralnym KAAS-MGR-SYS do systemu RE.</w:t>
      </w:r>
    </w:p>
    <w:p>
      <w:pPr>
        <w:pStyle w:val="ListParagraph"/>
        <w:numPr>
          <w:ilvl w:val="0"/>
          <w:numId w:val="116"/>
        </w:numPr>
        <w:tabs>
          <w:tab w:val="clear" w:pos="708"/>
          <w:tab w:val="left" w:pos="993" w:leader="none"/>
        </w:tabs>
        <w:spacing w:lineRule="auto" w:line="259" w:before="0" w:after="160"/>
        <w:contextualSpacing/>
        <w:jc w:val="both"/>
        <w:rPr/>
      </w:pPr>
      <w:r>
        <w:rPr/>
        <w:t>Nadanie uprawnień do Ankiety endoprotezoplastyki w systemie AMMS – Odczyt / Wpis / Autoryzacja / Modyfikacja.</w:t>
      </w:r>
    </w:p>
    <w:p>
      <w:pPr>
        <w:pStyle w:val="ListParagraph"/>
        <w:tabs>
          <w:tab w:val="clear" w:pos="708"/>
          <w:tab w:val="left" w:pos="993" w:leader="none"/>
        </w:tabs>
        <w:ind w:left="360"/>
        <w:jc w:val="both"/>
        <w:rPr/>
      </w:pPr>
      <w:r>
        <w:rPr/>
      </w:r>
    </w:p>
    <w:p>
      <w:pPr>
        <w:pStyle w:val="ListParagraph"/>
        <w:pBdr>
          <w:bottom w:val="single" w:sz="12" w:space="1" w:color="000000"/>
        </w:pBdr>
        <w:spacing w:lineRule="auto" w:line="240"/>
        <w:ind w:left="0"/>
        <w:jc w:val="both"/>
        <w:rPr>
          <w:b/>
          <w:bCs/>
          <w:sz w:val="28"/>
          <w:szCs w:val="28"/>
        </w:rPr>
      </w:pPr>
      <w:r>
        <w:rPr>
          <w:b/>
          <w:bCs/>
          <w:sz w:val="28"/>
          <w:szCs w:val="28"/>
        </w:rPr>
      </w:r>
    </w:p>
    <w:p>
      <w:pPr>
        <w:pStyle w:val="ListParagraph"/>
        <w:pBdr>
          <w:bottom w:val="single" w:sz="12" w:space="1" w:color="000000"/>
        </w:pBdr>
        <w:spacing w:lineRule="auto" w:line="240"/>
        <w:ind w:left="0"/>
        <w:jc w:val="both"/>
        <w:rPr>
          <w:b/>
          <w:bCs/>
          <w:sz w:val="28"/>
          <w:szCs w:val="28"/>
        </w:rPr>
      </w:pPr>
      <w:r>
        <w:rPr>
          <w:b/>
          <w:bCs/>
          <w:sz w:val="28"/>
          <w:szCs w:val="28"/>
        </w:rPr>
      </w:r>
    </w:p>
    <w:p>
      <w:pPr>
        <w:pStyle w:val="ListParagraph"/>
        <w:pBdr>
          <w:bottom w:val="single" w:sz="12" w:space="1" w:color="000000"/>
        </w:pBdr>
        <w:spacing w:lineRule="auto" w:line="240"/>
        <w:ind w:left="0"/>
        <w:jc w:val="both"/>
        <w:rPr>
          <w:b/>
          <w:bCs/>
          <w:sz w:val="28"/>
          <w:szCs w:val="24"/>
        </w:rPr>
      </w:pPr>
      <w:r>
        <w:rPr>
          <w:b/>
          <w:bCs/>
          <w:sz w:val="28"/>
          <w:szCs w:val="24"/>
        </w:rPr>
        <w:t xml:space="preserve">Opis wdrożenia </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ListParagraph"/>
        <w:numPr>
          <w:ilvl w:val="0"/>
          <w:numId w:val="87"/>
        </w:numPr>
        <w:tabs>
          <w:tab w:val="clear" w:pos="708"/>
          <w:tab w:val="left" w:pos="993" w:leader="none"/>
        </w:tabs>
        <w:spacing w:lineRule="auto" w:line="259" w:before="0" w:after="160"/>
        <w:contextualSpacing/>
        <w:jc w:val="both"/>
        <w:rPr/>
      </w:pPr>
      <w:r>
        <w:rPr/>
        <w:t xml:space="preserve">Platforma Integracyjna – instalacja usługi ENDO, zmiana adresów usług na środowisko produkcyjne. </w:t>
      </w:r>
    </w:p>
    <w:p>
      <w:pPr>
        <w:pStyle w:val="ListParagraph"/>
        <w:numPr>
          <w:ilvl w:val="0"/>
          <w:numId w:val="87"/>
        </w:numPr>
        <w:tabs>
          <w:tab w:val="clear" w:pos="708"/>
          <w:tab w:val="left" w:pos="993" w:leader="none"/>
        </w:tabs>
        <w:spacing w:lineRule="auto" w:line="259" w:before="0" w:after="160"/>
        <w:contextualSpacing/>
        <w:jc w:val="both"/>
        <w:rPr/>
      </w:pPr>
      <w:r>
        <w:rPr/>
        <w:t>Weryfikacja konfiguracji komunikacji z NFZ.</w:t>
      </w:r>
    </w:p>
    <w:p>
      <w:pPr>
        <w:pStyle w:val="ListParagraph"/>
        <w:numPr>
          <w:ilvl w:val="0"/>
          <w:numId w:val="87"/>
        </w:numPr>
        <w:tabs>
          <w:tab w:val="clear" w:pos="708"/>
          <w:tab w:val="left" w:pos="993" w:leader="none"/>
        </w:tabs>
        <w:spacing w:lineRule="auto" w:line="259" w:before="0" w:after="160"/>
        <w:contextualSpacing/>
        <w:jc w:val="both"/>
        <w:rPr/>
      </w:pPr>
      <w:r>
        <w:rPr/>
        <w:t>Weryfikacja / konfiguracja logowania do systemów NFZ (RE) – w kontekście: System / Użytkownik.</w:t>
      </w:r>
    </w:p>
    <w:p>
      <w:pPr>
        <w:pStyle w:val="ListParagraph"/>
        <w:numPr>
          <w:ilvl w:val="0"/>
          <w:numId w:val="87"/>
        </w:numPr>
        <w:tabs>
          <w:tab w:val="clear" w:pos="708"/>
          <w:tab w:val="left" w:pos="993" w:leader="none"/>
        </w:tabs>
        <w:spacing w:lineRule="auto" w:line="259" w:before="0" w:after="160"/>
        <w:contextualSpacing/>
        <w:jc w:val="both"/>
        <w:rPr/>
      </w:pPr>
      <w:r>
        <w:rPr/>
        <w:t>Import słowników z RE.</w:t>
      </w:r>
    </w:p>
    <w:p>
      <w:pPr>
        <w:pStyle w:val="ListParagraph"/>
        <w:numPr>
          <w:ilvl w:val="0"/>
          <w:numId w:val="87"/>
        </w:numPr>
        <w:tabs>
          <w:tab w:val="clear" w:pos="708"/>
          <w:tab w:val="left" w:pos="993" w:leader="none"/>
        </w:tabs>
        <w:spacing w:lineRule="auto" w:line="259" w:before="0" w:after="160"/>
        <w:contextualSpacing/>
        <w:jc w:val="both"/>
        <w:rPr/>
      </w:pPr>
      <w:r>
        <w:rPr/>
        <w:t>Nadanie uprawnień – Odczyt / Wpis / Autoryzacja / Modyfikacja.</w:t>
      </w:r>
    </w:p>
    <w:p>
      <w:pPr>
        <w:pStyle w:val="ListParagraph"/>
        <w:numPr>
          <w:ilvl w:val="0"/>
          <w:numId w:val="87"/>
        </w:numPr>
        <w:tabs>
          <w:tab w:val="clear" w:pos="708"/>
          <w:tab w:val="left" w:pos="993" w:leader="none"/>
        </w:tabs>
        <w:spacing w:lineRule="auto" w:line="259" w:before="0" w:after="160"/>
        <w:contextualSpacing/>
        <w:jc w:val="both"/>
        <w:rPr/>
      </w:pPr>
      <w:r>
        <w:rPr/>
        <w:t xml:space="preserve">Ustawienie parametrów systemowych: </w:t>
      </w:r>
    </w:p>
    <w:p>
      <w:pPr>
        <w:pStyle w:val="ListParagraph"/>
        <w:tabs>
          <w:tab w:val="clear" w:pos="708"/>
          <w:tab w:val="left" w:pos="993" w:leader="none"/>
        </w:tabs>
        <w:ind w:left="360"/>
        <w:jc w:val="both"/>
        <w:rPr/>
      </w:pPr>
      <w:r>
        <w:rPr/>
        <w:t xml:space="preserve">- SzynaIntegr\AdresPI, </w:t>
      </w:r>
    </w:p>
    <w:p>
      <w:pPr>
        <w:pStyle w:val="ListParagraph"/>
        <w:tabs>
          <w:tab w:val="clear" w:pos="708"/>
          <w:tab w:val="left" w:pos="993" w:leader="none"/>
        </w:tabs>
        <w:ind w:left="360"/>
        <w:jc w:val="both"/>
        <w:rPr/>
      </w:pPr>
      <w:r>
        <w:rPr/>
        <w:t xml:space="preserve">- AE\RODZAJ_PODPISU, </w:t>
      </w:r>
    </w:p>
    <w:p>
      <w:pPr>
        <w:pStyle w:val="ListParagraph"/>
        <w:tabs>
          <w:tab w:val="clear" w:pos="708"/>
          <w:tab w:val="left" w:pos="993" w:leader="none"/>
        </w:tabs>
        <w:ind w:left="360"/>
        <w:jc w:val="both"/>
        <w:rPr/>
      </w:pPr>
      <w:r>
        <w:rPr/>
        <w:t>- dot. AUTORYZACJI (wraz z punktem autoryzacji: DANE_AEP)</w:t>
      </w:r>
    </w:p>
    <w:p>
      <w:pPr>
        <w:pStyle w:val="ListParagraph"/>
        <w:numPr>
          <w:ilvl w:val="0"/>
          <w:numId w:val="87"/>
        </w:numPr>
        <w:tabs>
          <w:tab w:val="clear" w:pos="708"/>
          <w:tab w:val="left" w:pos="993" w:leader="none"/>
        </w:tabs>
        <w:spacing w:lineRule="auto" w:line="259" w:before="0" w:after="160"/>
        <w:contextualSpacing/>
        <w:jc w:val="both"/>
        <w:rPr/>
      </w:pPr>
      <w:r>
        <w:rPr/>
        <w:t>Konfiguracja dokumentacji medycznej - określenie dostępności dokumentu w danym JOS (klasa dokumentu: ANK_ENDO_PEL).</w:t>
      </w:r>
    </w:p>
    <w:p>
      <w:pPr>
        <w:pStyle w:val="Normal"/>
        <w:tabs>
          <w:tab w:val="clear" w:pos="708"/>
          <w:tab w:val="left" w:pos="993" w:leader="none"/>
        </w:tabs>
        <w:rPr>
          <w:rFonts w:ascii="Aptos" w:hAnsi="Aptos" w:eastAsia="Aptos" w:cs="Aptos"/>
          <w:color w:themeColor="text1" w:val="000000"/>
          <w:highlight w:val="yellow"/>
        </w:rPr>
      </w:pPr>
      <w:r>
        <w:rPr>
          <w:rFonts w:eastAsia="Aptos" w:cs="Aptos" w:ascii="Aptos" w:hAnsi="Aptos"/>
          <w:color w:themeColor="text1" w:val="000000"/>
          <w:highlight w:val="yellow"/>
        </w:rPr>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jc w:val="both"/>
        <w:rPr/>
      </w:pPr>
      <w:r>
        <w:rPr/>
        <w:t>Opis tego, co musi zostać uruchomione i skonfigurowane w ramach wdrożenia:</w:t>
      </w:r>
    </w:p>
    <w:p>
      <w:pPr>
        <w:pStyle w:val="ListParagraph"/>
        <w:numPr>
          <w:ilvl w:val="0"/>
          <w:numId w:val="118"/>
        </w:numPr>
        <w:tabs>
          <w:tab w:val="clear" w:pos="708"/>
          <w:tab w:val="left" w:pos="993" w:leader="none"/>
        </w:tabs>
        <w:spacing w:lineRule="auto" w:line="259" w:before="0" w:after="160"/>
        <w:contextualSpacing/>
        <w:jc w:val="both"/>
        <w:rPr/>
      </w:pPr>
      <w:r>
        <w:rPr/>
        <w:t>Wgranie licencji – ANKIETA_ENDO.</w:t>
      </w:r>
    </w:p>
    <w:p>
      <w:pPr>
        <w:pStyle w:val="ListParagraph"/>
        <w:numPr>
          <w:ilvl w:val="0"/>
          <w:numId w:val="118"/>
        </w:numPr>
        <w:tabs>
          <w:tab w:val="clear" w:pos="708"/>
          <w:tab w:val="left" w:pos="993" w:leader="none"/>
        </w:tabs>
        <w:spacing w:lineRule="auto" w:line="259" w:before="0" w:after="160"/>
        <w:contextualSpacing/>
        <w:jc w:val="both"/>
        <w:rPr/>
      </w:pPr>
      <w:r>
        <w:rPr/>
        <w:t>Szkolenie personelu i konsultacje na stanowisku</w:t>
      </w:r>
    </w:p>
    <w:p>
      <w:pPr>
        <w:pStyle w:val="Normal"/>
        <w:ind w:left="720"/>
        <w:jc w:val="center"/>
        <w:rPr/>
      </w:pPr>
      <w:r>
        <w:rPr>
          <w:rFonts w:eastAsia="Aptos" w:cs="Aptos" w:ascii="Aptos" w:hAnsi="Aptos"/>
          <w:b/>
          <w:bCs/>
          <w:color w:val="00B0F0"/>
          <w:sz w:val="32"/>
          <w:szCs w:val="32"/>
        </w:rPr>
        <w:t>12.Monitoring środowiska HIS</w:t>
      </w:r>
    </w:p>
    <w:p>
      <w:pPr>
        <w:pStyle w:val="Normal"/>
        <w:tabs>
          <w:tab w:val="clear" w:pos="708"/>
          <w:tab w:val="left" w:pos="993" w:leader="none"/>
        </w:tabs>
        <w:spacing w:lineRule="auto" w:line="257"/>
        <w:rPr/>
      </w:pPr>
      <w:r>
        <w:rPr>
          <w:rFonts w:eastAsia="Aptos" w:cs="Aptos" w:ascii="Aptos" w:hAnsi="Aptos"/>
          <w:color w:themeColor="text1" w:val="000000"/>
        </w:rPr>
        <w:t xml:space="preserve"> </w:t>
      </w:r>
      <w:r>
        <w:rPr>
          <w:rFonts w:eastAsia="Aptos" w:cs="Aptos" w:ascii="Aptos" w:hAnsi="Aptos"/>
          <w:b/>
          <w:bCs/>
          <w:color w:themeColor="text1" w:val="000000"/>
          <w:sz w:val="28"/>
          <w:szCs w:val="28"/>
        </w:rPr>
        <w:t>Wymagania funkcjonalne</w:t>
      </w:r>
    </w:p>
    <w:p>
      <w:pPr>
        <w:pStyle w:val="Normal"/>
        <w:tabs>
          <w:tab w:val="clear" w:pos="708"/>
          <w:tab w:val="left" w:pos="993" w:leader="none"/>
        </w:tabs>
        <w:spacing w:lineRule="auto" w:line="257"/>
        <w:rPr/>
      </w:pPr>
      <w:r>
        <w:rPr>
          <w:rFonts w:eastAsia="Aptos" w:cs="Aptos" w:ascii="Aptos" w:hAnsi="Aptos"/>
          <w:color w:themeColor="text1" w:val="000000"/>
        </w:rPr>
        <w:t>Opis wszystkich funkcjonalności oraz zależności w ramach modułu, w podziale:</w:t>
      </w:r>
    </w:p>
    <w:p>
      <w:pPr>
        <w:pStyle w:val="ListParagraph"/>
        <w:numPr>
          <w:ilvl w:val="0"/>
          <w:numId w:val="124"/>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Wymagania funkcjonalne</w:t>
      </w:r>
    </w:p>
    <w:p>
      <w:pPr>
        <w:pStyle w:val="Normal"/>
        <w:spacing w:lineRule="auto" w:line="257" w:before="0" w:after="0"/>
        <w:ind w:left="1080"/>
        <w:jc w:val="both"/>
        <w:rPr>
          <w:rFonts w:ascii="Aptos" w:hAnsi="Aptos" w:eastAsia="Aptos" w:cs="Aptos"/>
          <w:b/>
          <w:bCs/>
          <w:color w:themeColor="text1" w:val="000000"/>
        </w:rPr>
      </w:pPr>
      <w:r>
        <w:rPr>
          <w:rFonts w:eastAsia="Aptos" w:cs="Aptos" w:ascii="Aptos" w:hAnsi="Aptos"/>
          <w:b/>
          <w:bCs/>
          <w:color w:themeColor="text1" w:val="000000"/>
        </w:rPr>
        <w:t>Wymagania ogólne</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nieprzerwane gromadzenie, przetwarzanie i wizualizację zebranych danych na zdefiniowanych do tego celu wykresach,</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gromadzenie na centralnym serwerze monitoringu, metryk z serwerów wchodzących w skład systemu HIS (serwery aplikacyjne oraz bazodanowe) opartych o systemy operacyjne Linux/Windows. Monitoringiem objętych będzie łącznie 10 serwerów.</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przegląd zebranych metryk w czasie rzeczywistym za pomocą Centralnego Pulpitu dostępnego z przeglądarki internetowej,</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dedykowanych agentów na serwery z systemami operacyjnym Linux i Windows.</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umożliwiać przegląd zebranych danych w czasie rzeczywistym za pomocą typów wykresów: słupkowy, kołowy, wykres w czasie, tabela, zegarowy, histogram,</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monitorowania powinien zapewniać mechanizmy obsługę pobierania i prezentacji licencjonowanych metryk merytorycznych udostępnianych przez HIS i systemy zależne.</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możliwość monitorowania i diagnostyki serwera klastra systemu HIS wraz z serwerem pośredniczącym proxy.</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możliwość powiadamiania o niepożądanych incydentach poprzez zdefiniowane do tego celu kanały email oraz sms.</w:t>
      </w:r>
    </w:p>
    <w:p>
      <w:pPr>
        <w:pStyle w:val="Normal"/>
        <w:spacing w:lineRule="auto" w:line="257" w:before="0" w:after="0"/>
        <w:ind w:left="1080"/>
        <w:jc w:val="both"/>
        <w:rPr>
          <w:rFonts w:ascii="Aptos" w:hAnsi="Aptos" w:eastAsia="Aptos" w:cs="Aptos"/>
          <w:b/>
          <w:bCs/>
          <w:color w:themeColor="text1" w:val="000000"/>
        </w:rPr>
      </w:pPr>
      <w:r>
        <w:rPr>
          <w:rFonts w:eastAsia="Aptos" w:cs="Aptos" w:ascii="Aptos" w:hAnsi="Aptos"/>
          <w:b/>
          <w:bCs/>
          <w:color w:themeColor="text1" w:val="000000"/>
        </w:rPr>
        <w:t>Funkcja powiadamiania</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automatyczną wysyłkę wybranych powiadomień w przypadku wystąpienia i wykrycia przez system monitoringu krytycznych incydentów w tym w szczególności:</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xml:space="preserve"> </w:t>
      </w:r>
      <w:r>
        <w:rPr>
          <w:rFonts w:eastAsia="Aptos" w:cs="Aptos" w:ascii="Aptos" w:hAnsi="Aptos"/>
          <w:color w:themeColor="text1" w:val="000000"/>
        </w:rPr>
        <w:t>- powiadomień o ostrzeżeniach i awariach,</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powiadomień o zagrożeniach stabilności,</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powiadomień w zależności od przyjętych wartości krytycznych dla zdefiniowanych zdarzeń,"</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poczty elektronicznej,</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wiadomości SMS,</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komunikatora działającego na platformie mobilnej,</w:t>
      </w:r>
    </w:p>
    <w:p>
      <w:pPr>
        <w:pStyle w:val="Normal"/>
        <w:spacing w:lineRule="auto" w:line="257" w:before="0" w:after="0"/>
        <w:ind w:left="1080"/>
        <w:jc w:val="both"/>
        <w:rPr>
          <w:rFonts w:ascii="Aptos" w:hAnsi="Aptos" w:eastAsia="Aptos" w:cs="Aptos"/>
          <w:b/>
          <w:bCs/>
          <w:color w:themeColor="text1" w:val="000000"/>
        </w:rPr>
      </w:pPr>
      <w:r>
        <w:rPr>
          <w:rFonts w:eastAsia="Aptos" w:cs="Aptos" w:ascii="Aptos" w:hAnsi="Aptos"/>
          <w:b/>
          <w:bCs/>
          <w:color w:themeColor="text1" w:val="000000"/>
        </w:rPr>
        <w:t>Funkcja przeglądania</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funkcjonalność ustawienia czasu retencji przechowywanych danych historycznych do maksimum 180dni,</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przegląd danych historycznych za pomocą Centralnego Pulpitu dostępnego z  przeglądarki internetowej</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przeglądu danych historycznych za pomocą typów wykresów: słupkowy, kołowy, wykres w czasie, tabela, zegarowy, histogram,</w:t>
      </w:r>
    </w:p>
    <w:p>
      <w:pPr>
        <w:pStyle w:val="Normal"/>
        <w:spacing w:lineRule="auto" w:line="257" w:before="0" w:after="0"/>
        <w:ind w:left="1080"/>
        <w:jc w:val="both"/>
        <w:rPr>
          <w:rFonts w:ascii="Aptos" w:hAnsi="Aptos" w:eastAsia="Aptos" w:cs="Aptos"/>
          <w:b/>
          <w:bCs/>
          <w:color w:themeColor="text1" w:val="000000"/>
        </w:rPr>
      </w:pPr>
      <w:r>
        <w:rPr>
          <w:rFonts w:eastAsia="Aptos" w:cs="Aptos" w:ascii="Aptos" w:hAnsi="Aptos"/>
          <w:b/>
          <w:bCs/>
          <w:color w:themeColor="text1" w:val="000000"/>
        </w:rPr>
        <w:t>Funkcja rejestrowania</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rejestrowania Systemu Monitoringu w zakresie systemów operacyjnych powinna zapewniać gromadzenie statystyk dotyczących:</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Średnie obciążenie SO,</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pamięci CPU</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pamięci RAM</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przestrzeni SWAP</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Utylizacja przestrzeni dyskowych</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status dostępności serwera w sieci (PING)</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liczba aktywnych połączeń TCP/IP"</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Funkcja rejestrowania System Monitoringu powinna zapewniać gromadzenie statystyki dotyczących pracy aplikacji dziedzinowych w zakresie:</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Dostępności uruchomionych usług</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Rozkładu obciążenia na poszczególne serwery klastra aplikacyjnego</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Przetwarzania wybranych usług</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Czasu i ilości wykonanych operacji wybranych zdarzeń systemu dziedzinowego</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serwerem aplikacyjnym,</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Czasach odpowiedzi usług,</w:t>
      </w:r>
    </w:p>
    <w:p>
      <w:pPr>
        <w:pStyle w:val="ListParagraph"/>
        <w:numPr>
          <w:ilvl w:val="1"/>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Funkcja rejestrowania System Monitoringu powinna zapewniać gromadzenie statystyki dotyczących pracy serwerów baz danych Oracle Database w zakresie:</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xml:space="preserve">- aktywnych procesów bazy danych, </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powtarzających / utrzymujących się blokadach na bazie danych,</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sesji zablokowanych i oczekujących na przetwarzanie,</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przekroczeniu limitów bazy danych,</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problemach z rozszerzeniem przestrzeni tabel serwera bazy danych Oracle,</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pojedynczą instancją bazy danych,</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problemach z dostępnością klastra bazodanowego Oracle RAC,</w:t>
      </w:r>
    </w:p>
    <w:p>
      <w:pPr>
        <w:pStyle w:val="ListParagraph"/>
        <w:numPr>
          <w:ilvl w:val="2"/>
          <w:numId w:val="123"/>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serwerem bazy danych,"</w:t>
      </w:r>
    </w:p>
    <w:p>
      <w:pPr>
        <w:pStyle w:val="Normal"/>
        <w:spacing w:lineRule="auto" w:line="257" w:before="0" w:after="0"/>
        <w:ind w:left="1080"/>
        <w:jc w:val="both"/>
        <w:rPr>
          <w:rFonts w:ascii="Aptos" w:hAnsi="Aptos" w:eastAsia="Aptos" w:cs="Aptos"/>
          <w:b/>
          <w:bCs/>
          <w:color w:themeColor="text1" w:val="000000"/>
          <w:lang w:val="en-US"/>
        </w:rPr>
      </w:pPr>
      <w:r>
        <w:rPr>
          <w:rFonts w:eastAsia="Aptos" w:cs="Aptos" w:ascii="Aptos" w:hAnsi="Aptos"/>
          <w:b/>
          <w:bCs/>
          <w:color w:themeColor="text1" w:val="000000"/>
          <w:lang w:val="en-US"/>
        </w:rPr>
        <w:t>Usługa Active Monitoring HIS/ Rozszerzony Monitoring</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Wykonawca w ramach systemu monitoringu powinien zapewnić usługę dostępności Inżynierów Systemowych od poniedziałku do piątku w godzinach 8:00 – 16:00.</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Wykonawca w ramach dostępności Zespół Inżynierów Systemowych, zapewni wsparcie w zakresie aktywnego monitorowania incydentów raportowanych przez system monitoringu,</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systemów operacyjnych Linux/Windows,</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serwerów aplikacyjnych WildFly/Tomcat/Apache,</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oprogramowania bazy danych Oracle Database,</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oprogramowania metryk aplikacyjnych systemu HIS.</w:t>
      </w:r>
    </w:p>
    <w:p>
      <w:pPr>
        <w:pStyle w:val="Normal"/>
        <w:spacing w:lineRule="auto" w:line="257" w:before="0" w:after="0"/>
        <w:ind w:left="1080"/>
        <w:jc w:val="both"/>
        <w:rPr>
          <w:rFonts w:ascii="Aptos" w:hAnsi="Aptos" w:eastAsia="Aptos" w:cs="Aptos"/>
          <w:b/>
          <w:bCs/>
          <w:color w:themeColor="text1" w:val="000000"/>
        </w:rPr>
      </w:pPr>
      <w:r>
        <w:rPr>
          <w:rFonts w:eastAsia="Aptos" w:cs="Aptos" w:ascii="Aptos" w:hAnsi="Aptos"/>
          <w:b/>
          <w:bCs/>
          <w:color w:themeColor="text1" w:val="000000"/>
        </w:rPr>
        <w:t>Usługa StandBy24 HIS</w:t>
      </w:r>
    </w:p>
    <w:p>
      <w:pPr>
        <w:pStyle w:val="ListParagraph"/>
        <w:numPr>
          <w:ilvl w:val="0"/>
          <w:numId w:val="123"/>
        </w:numPr>
        <w:spacing w:lineRule="auto" w:line="257" w:before="0" w:after="0"/>
        <w:ind w:hanging="360" w:left="1440"/>
        <w:contextualSpacing/>
        <w:jc w:val="both"/>
        <w:rPr>
          <w:rFonts w:ascii="Aptos" w:hAnsi="Aptos" w:eastAsia="Aptos" w:cs="Aptos"/>
          <w:color w:themeColor="text1" w:val="000000"/>
        </w:rPr>
      </w:pPr>
      <w:r>
        <w:rPr>
          <w:rFonts w:eastAsia="Aptos" w:cs="Aptos" w:ascii="Aptos" w:hAnsi="Aptos"/>
          <w:color w:themeColor="text1" w:val="000000"/>
        </w:rPr>
        <w:t>Dyżur Inżynierów Systemowych w godzinach 16:00-8:00 w celu jak najszybszego rozwiązania awarii skutkującej całkowitą niedostępnością systemu.</w:t>
      </w:r>
    </w:p>
    <w:p>
      <w:pPr>
        <w:pStyle w:val="ListParagraph"/>
        <w:spacing w:lineRule="auto" w:line="257" w:before="0" w:after="0"/>
        <w:ind w:lef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22"/>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Wewnętrzne integracje:</w:t>
      </w:r>
    </w:p>
    <w:p>
      <w:pPr>
        <w:pStyle w:val="ListParagraph"/>
        <w:numPr>
          <w:ilvl w:val="1"/>
          <w:numId w:val="122"/>
        </w:numPr>
        <w:spacing w:lineRule="auto" w:line="259" w:before="0" w:after="0"/>
        <w:contextualSpacing/>
        <w:jc w:val="both"/>
        <w:rPr>
          <w:rFonts w:ascii="Aptos" w:hAnsi="Aptos"/>
        </w:rPr>
      </w:pPr>
      <w:r>
        <w:rPr>
          <w:rFonts w:eastAsia="Aptos" w:cs="Aptos" w:ascii="Aptos" w:hAnsi="Aptos"/>
          <w:b/>
          <w:bCs/>
          <w:color w:themeColor="text1" w:val="000000"/>
        </w:rPr>
        <w:t>HIS</w:t>
      </w:r>
      <w:r>
        <w:rPr>
          <w:rStyle w:val="normaltextrun"/>
          <w:rFonts w:eastAsia="" w:ascii="Aptos" w:hAnsi="Aptos" w:eastAsiaTheme="majorEastAsia"/>
          <w:color w:val="000000"/>
        </w:rPr>
        <w:t xml:space="preserve"> – wymagany system HIS jako źródło danych </w:t>
      </w:r>
      <w:r>
        <w:rPr>
          <w:rStyle w:val="eop"/>
          <w:rFonts w:eastAsia="" w:ascii="Aptos" w:hAnsi="Aptos" w:eastAsiaTheme="majorEastAsia"/>
          <w:color w:val="000000"/>
        </w:rPr>
        <w:t xml:space="preserve">dla licencjonowanych </w:t>
      </w:r>
      <w:r>
        <w:rPr>
          <w:rStyle w:val="normaltextrun"/>
          <w:rFonts w:eastAsia="" w:ascii="Aptos" w:hAnsi="Aptos" w:eastAsiaTheme="majorEastAsia"/>
          <w:color w:val="000000"/>
        </w:rPr>
        <w:t xml:space="preserve">metryk merytorycznych, </w:t>
      </w:r>
    </w:p>
    <w:p>
      <w:pPr>
        <w:pStyle w:val="ListParagraph"/>
        <w:numPr>
          <w:ilvl w:val="1"/>
          <w:numId w:val="122"/>
        </w:numPr>
        <w:spacing w:lineRule="auto" w:line="259" w:before="0" w:after="0"/>
        <w:contextualSpacing/>
        <w:jc w:val="both"/>
        <w:rPr>
          <w:rStyle w:val="normaltextrun"/>
          <w:rFonts w:ascii="Aptos" w:hAnsi="Aptos"/>
        </w:rPr>
      </w:pPr>
      <w:r>
        <w:rPr>
          <w:rFonts w:eastAsia="Aptos" w:cs="Aptos" w:ascii="Aptos" w:hAnsi="Aptos"/>
          <w:b/>
          <w:bCs/>
          <w:color w:themeColor="text1" w:val="000000"/>
        </w:rPr>
        <w:t>EDM</w:t>
      </w:r>
      <w:r>
        <w:rPr>
          <w:rStyle w:val="normaltextrun"/>
          <w:rFonts w:eastAsia="" w:ascii="Aptos" w:hAnsi="Aptos" w:eastAsiaTheme="majorEastAsia"/>
          <w:color w:val="000000"/>
        </w:rPr>
        <w:t xml:space="preserve"> – wymagane Repozytorium EDM jako źródło danych </w:t>
      </w:r>
      <w:r>
        <w:rPr>
          <w:rStyle w:val="eop"/>
          <w:rFonts w:eastAsia="" w:ascii="Aptos" w:hAnsi="Aptos" w:eastAsiaTheme="majorEastAsia"/>
          <w:color w:val="000000"/>
        </w:rPr>
        <w:t xml:space="preserve">dla licencjonowanych </w:t>
      </w:r>
      <w:r>
        <w:rPr>
          <w:rStyle w:val="normaltextrun"/>
          <w:rFonts w:eastAsia="" w:ascii="Aptos" w:hAnsi="Aptos" w:eastAsiaTheme="majorEastAsia"/>
          <w:color w:val="000000"/>
        </w:rPr>
        <w:t>metryk merytorycznych,</w:t>
      </w:r>
    </w:p>
    <w:p>
      <w:pPr>
        <w:pStyle w:val="ListParagraph"/>
        <w:numPr>
          <w:ilvl w:val="1"/>
          <w:numId w:val="122"/>
        </w:numPr>
        <w:spacing w:lineRule="auto" w:line="259" w:before="0" w:after="0"/>
        <w:contextualSpacing/>
        <w:jc w:val="both"/>
        <w:rPr>
          <w:rFonts w:ascii="Aptos" w:hAnsi="Aptos" w:eastAsia="Aptos" w:cs="Aptos"/>
          <w:color w:themeColor="text1" w:val="000000"/>
        </w:rPr>
      </w:pPr>
      <w:r>
        <w:rPr>
          <w:rFonts w:eastAsia="Aptos" w:cs="Aptos" w:ascii="Aptos" w:hAnsi="Aptos"/>
          <w:b/>
          <w:bCs/>
          <w:color w:themeColor="text1" w:val="000000"/>
        </w:rPr>
        <w:t xml:space="preserve">platforma integracyjna </w:t>
      </w:r>
      <w:r>
        <w:rPr>
          <w:rFonts w:eastAsia="Times New Roman" w:ascii="Times New Roman" w:hAnsi="Times New Roman"/>
          <w:sz w:val="24"/>
          <w:szCs w:val="24"/>
        </w:rPr>
        <w:t>-</w:t>
      </w:r>
      <w:r>
        <w:rPr>
          <w:rFonts w:eastAsia="Aptos" w:cs="Aptos" w:ascii="Aptos" w:hAnsi="Aptos"/>
          <w:color w:themeColor="text1" w:val="000000"/>
        </w:rPr>
        <w:t xml:space="preserve"> wymagane źródło danych dla licencjonowanych metryk merytorycznych,</w:t>
      </w:r>
    </w:p>
    <w:p>
      <w:pPr>
        <w:pStyle w:val="ListParagraph"/>
        <w:numPr>
          <w:ilvl w:val="1"/>
          <w:numId w:val="122"/>
        </w:numPr>
        <w:spacing w:lineRule="auto" w:line="259" w:before="0" w:after="0"/>
        <w:contextualSpacing/>
        <w:jc w:val="both"/>
        <w:rPr>
          <w:rFonts w:ascii="Aptos" w:hAnsi="Aptos" w:eastAsia="Aptos" w:cs="Aptos"/>
        </w:rPr>
      </w:pPr>
      <w:r>
        <w:rPr>
          <w:rFonts w:eastAsia="Aptos" w:cs="Aptos" w:ascii="Aptos" w:hAnsi="Aptos"/>
          <w:b/>
          <w:bCs/>
          <w:color w:themeColor="text1" w:val="000000"/>
        </w:rPr>
        <w:t>Oracle –</w:t>
      </w:r>
      <w:r>
        <w:rPr>
          <w:rFonts w:eastAsia="Aptos" w:cs="Aptos" w:ascii="Aptos" w:hAnsi="Aptos"/>
        </w:rPr>
        <w:t xml:space="preserve"> baza danych systemu HIS/EDM.</w:t>
      </w:r>
    </w:p>
    <w:p>
      <w:pPr>
        <w:pStyle w:val="Normal"/>
        <w:tabs>
          <w:tab w:val="clear" w:pos="708"/>
          <w:tab w:val="left" w:pos="993" w:leader="none"/>
        </w:tabs>
        <w:spacing w:lineRule="auto" w:line="257" w:before="0" w:after="0"/>
        <w:ind w:left="720"/>
        <w:rPr/>
      </w:pPr>
      <w:r>
        <w:rPr>
          <w:rFonts w:eastAsia="Aptos" w:cs="Aptos" w:ascii="Aptos" w:hAnsi="Aptos"/>
          <w:color w:themeColor="text1" w:val="000000"/>
        </w:rPr>
        <w:t xml:space="preserve"> </w:t>
      </w:r>
    </w:p>
    <w:p>
      <w:pPr>
        <w:pStyle w:val="ListParagraph"/>
        <w:numPr>
          <w:ilvl w:val="0"/>
          <w:numId w:val="122"/>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Zależności między modułami:</w:t>
      </w:r>
    </w:p>
    <w:p>
      <w:pPr>
        <w:pStyle w:val="ListParagraph"/>
        <w:numPr>
          <w:ilvl w:val="1"/>
          <w:numId w:val="122"/>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Moduł Monitoring środowiska HIS musi zostać uruchomiony przed System HIS w celu zapewnienia prawidłowego działania panelu konfiguracyjnego dostępnego w systemie HIS,</w:t>
      </w:r>
    </w:p>
    <w:p>
      <w:pPr>
        <w:pStyle w:val="ListParagraph"/>
        <w:numPr>
          <w:ilvl w:val="1"/>
          <w:numId w:val="122"/>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Moduł korzysta z wspólnej bazy danych systemu HIS,</w:t>
      </w:r>
    </w:p>
    <w:p>
      <w:pPr>
        <w:pStyle w:val="ListParagraph"/>
        <w:numPr>
          <w:ilvl w:val="1"/>
          <w:numId w:val="122"/>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Aktualizacja systemu HIS i systemów zależnych może wpływać na moduł Monitoring środowiska HIS w zakresie zmian prezentacji metryk merytorycznych i wpływać na jakość monitorowanych zdarzeń.</w:t>
      </w:r>
    </w:p>
    <w:p>
      <w:pPr>
        <w:pStyle w:val="Normal"/>
        <w:tabs>
          <w:tab w:val="clear" w:pos="708"/>
          <w:tab w:val="left" w:pos="993" w:leader="none"/>
        </w:tabs>
        <w:spacing w:lineRule="auto" w:line="257"/>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spacing w:lineRule="auto" w:line="257"/>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spacing w:lineRule="auto" w:line="257"/>
        <w:ind w:left="720"/>
        <w:jc w:val="both"/>
        <w:rPr/>
      </w:pPr>
      <w:r>
        <w:rPr>
          <w:rFonts w:eastAsia="Aptos" w:cs="Aptos" w:ascii="Aptos" w:hAnsi="Aptos"/>
          <w:color w:themeColor="text1" w:val="000000"/>
        </w:rPr>
        <w:t>Produkt zostanie uznany za zgodny funkcjonalnie, jeśli:</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konfiguracji listy monitorowanych serwerów w systemie HIS,</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listy monitorowanych usług wewnętrznych w systemie HIS,</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listy monitorowanych usług zewnętrznych w systemie HIS,</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metryk z systemów operacyjnych Linux i Windows udostępnianych za pomocą agenta modułu Monitoring środowiska HIS,</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licencjonowanych metryk merytorycznych pochodzących z systemu HIS i systemów zależnych w szczególności EDM i PI,</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monitorowanie bazy danych Oracle systemu HIS/EDM za pomocą agenta modułu Monitoring środowiska HIS,</w:t>
      </w:r>
    </w:p>
    <w:p>
      <w:pPr>
        <w:pStyle w:val="ListParagraph"/>
        <w:numPr>
          <w:ilvl w:val="0"/>
          <w:numId w:val="121"/>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metryk serwera pośredniczącego klastra systemu HIS udostępnianych za pomocą agenta modułu Monitoring środowiska HIS.</w:t>
      </w:r>
    </w:p>
    <w:p>
      <w:pPr>
        <w:pStyle w:val="Normal"/>
        <w:tabs>
          <w:tab w:val="clear" w:pos="708"/>
          <w:tab w:val="left" w:pos="993" w:leader="none"/>
        </w:tabs>
        <w:spacing w:lineRule="auto" w:line="257"/>
        <w:ind w:left="720"/>
        <w:jc w:val="both"/>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spacing w:lineRule="auto" w:line="257"/>
        <w:rPr/>
      </w:pPr>
      <w:r>
        <w:rPr>
          <w:rFonts w:eastAsia="Aptos" w:cs="Aptos" w:ascii="Aptos" w:hAnsi="Aptos"/>
          <w:color w:themeColor="text1" w:val="000000"/>
        </w:rPr>
        <w:t>Lista zasobów, zależności i warunków koniecznych do uruchomienia modułu:</w:t>
      </w:r>
    </w:p>
    <w:p>
      <w:pPr>
        <w:pStyle w:val="ListParagraph"/>
        <w:numPr>
          <w:ilvl w:val="0"/>
          <w:numId w:val="120"/>
        </w:numPr>
        <w:spacing w:lineRule="auto" w:line="257" w:before="0" w:after="0"/>
        <w:ind w:hanging="360" w:left="360"/>
        <w:contextualSpacing/>
        <w:rPr>
          <w:rFonts w:ascii="Aptos" w:hAnsi="Aptos" w:eastAsia="Aptos" w:cs="Aptos"/>
          <w:b/>
          <w:color w:themeColor="text1" w:val="000000"/>
        </w:rPr>
      </w:pPr>
      <w:r>
        <w:rPr>
          <w:rFonts w:eastAsia="Aptos" w:cs="Aptos" w:ascii="Aptos" w:hAnsi="Aptos"/>
          <w:b/>
          <w:bCs/>
          <w:color w:themeColor="text1" w:val="000000"/>
        </w:rPr>
        <w:t>Warunki startowe</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 xml:space="preserve">Licencja: MONITORING_MODULE </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Wdrożony system HIS</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Wdrożony system EDM/AMDX</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Wdrożona Platforma Integracyjna PI</w:t>
      </w:r>
    </w:p>
    <w:p>
      <w:pPr>
        <w:pStyle w:val="ListParagraph"/>
        <w:numPr>
          <w:ilvl w:val="0"/>
          <w:numId w:val="120"/>
        </w:numPr>
        <w:spacing w:lineRule="auto" w:line="257" w:before="0" w:after="0"/>
        <w:ind w:hanging="360" w:left="360"/>
        <w:contextualSpacing/>
        <w:rPr>
          <w:rFonts w:ascii="Aptos" w:hAnsi="Aptos" w:eastAsia="Aptos" w:cs="Aptos"/>
          <w:b/>
          <w:color w:themeColor="text1" w:val="000000"/>
        </w:rPr>
      </w:pPr>
      <w:r>
        <w:rPr>
          <w:rFonts w:eastAsia="Aptos" w:cs="Aptos" w:ascii="Aptos" w:hAnsi="Aptos"/>
          <w:b/>
          <w:bCs/>
          <w:color w:themeColor="text1" w:val="000000"/>
        </w:rPr>
        <w:t>Wymagania techniczne:</w:t>
      </w:r>
    </w:p>
    <w:p>
      <w:pPr>
        <w:pStyle w:val="ListParagraph"/>
        <w:numPr>
          <w:ilvl w:val="1"/>
          <w:numId w:val="120"/>
        </w:numPr>
        <w:spacing w:lineRule="auto" w:line="259" w:before="0" w:after="0"/>
        <w:contextualSpacing/>
        <w:jc w:val="both"/>
        <w:rPr>
          <w:rFonts w:ascii="Aptos" w:hAnsi="Aptos" w:eastAsia="Aptos" w:cs="Aptos"/>
          <w:color w:themeColor="text1" w:val="000000"/>
        </w:rPr>
      </w:pPr>
      <w:r>
        <w:rPr>
          <w:rFonts w:eastAsia="Aptos" w:cs="Aptos" w:ascii="Aptos" w:hAnsi="Aptos"/>
          <w:color w:themeColor="text1" w:val="000000"/>
        </w:rPr>
        <w:t xml:space="preserve">Środowisko uruchomieniowe z obsługą kontenerów Docker (Linux/Windows), </w:t>
      </w:r>
    </w:p>
    <w:p>
      <w:pPr>
        <w:pStyle w:val="ListParagraph"/>
        <w:numPr>
          <w:ilvl w:val="1"/>
          <w:numId w:val="120"/>
        </w:numPr>
        <w:spacing w:lineRule="auto" w:line="259" w:before="0" w:after="0"/>
        <w:contextualSpacing/>
        <w:jc w:val="both"/>
        <w:rPr>
          <w:rFonts w:ascii="Aptos" w:hAnsi="Aptos" w:eastAsia="Aptos" w:cs="Aptos"/>
          <w:color w:themeColor="text1" w:val="000000"/>
        </w:rPr>
      </w:pPr>
      <w:r>
        <w:rPr>
          <w:rFonts w:eastAsia="Aptos" w:cs="Aptos" w:ascii="Aptos" w:hAnsi="Aptos"/>
          <w:color w:themeColor="text1" w:val="000000"/>
        </w:rPr>
        <w:t xml:space="preserve">Zainstalowany i skonfigurowany Docker oraz Docker Compose, </w:t>
      </w:r>
    </w:p>
    <w:p>
      <w:pPr>
        <w:pStyle w:val="ListParagraph"/>
        <w:numPr>
          <w:ilvl w:val="1"/>
          <w:numId w:val="120"/>
        </w:numPr>
        <w:spacing w:lineRule="auto" w:line="259" w:before="0" w:after="0"/>
        <w:contextualSpacing/>
        <w:rPr>
          <w:rFonts w:ascii="Aptos" w:hAnsi="Aptos" w:eastAsia="Aptos" w:cs="Aptos"/>
        </w:rPr>
      </w:pPr>
      <w:r>
        <w:rPr>
          <w:rFonts w:eastAsia="Aptos" w:cs="Aptos" w:ascii="Aptos" w:hAnsi="Aptos"/>
        </w:rPr>
        <w:t xml:space="preserve">Możliwość uruchamiania procesów z uprawnieniami administratora systemu operacyjnego, </w:t>
      </w:r>
    </w:p>
    <w:p>
      <w:pPr>
        <w:pStyle w:val="ListParagraph"/>
        <w:numPr>
          <w:ilvl w:val="1"/>
          <w:numId w:val="120"/>
        </w:numPr>
        <w:spacing w:lineRule="auto" w:line="259" w:before="0" w:after="0"/>
        <w:contextualSpacing/>
        <w:rPr>
          <w:rFonts w:ascii="Aptos" w:hAnsi="Aptos" w:eastAsia="Aptos" w:cs="Aptos"/>
        </w:rPr>
      </w:pPr>
      <w:r>
        <w:rPr>
          <w:rFonts w:eastAsia="Aptos" w:cs="Aptos" w:ascii="Aptos" w:hAnsi="Aptos"/>
        </w:rPr>
        <w:t xml:space="preserve">Zainstalowany i skonfigurowany serwer z systemem Linux zgodnie z kalkulacją: </w:t>
      </w:r>
    </w:p>
    <w:p>
      <w:pPr>
        <w:pStyle w:val="Normal"/>
        <w:tabs>
          <w:tab w:val="clear" w:pos="708"/>
          <w:tab w:val="left" w:pos="993" w:leader="none"/>
        </w:tabs>
        <w:spacing w:before="0" w:after="0"/>
        <w:rPr/>
      </w:pPr>
      <w:r>
        <w:rPr>
          <w:rFonts w:eastAsia="Aptos" w:cs="Aptos" w:ascii="Aptos" w:hAnsi="Aptos"/>
        </w:rPr>
        <w:t xml:space="preserve"> </w:t>
      </w:r>
    </w:p>
    <w:tbl>
      <w:tblPr>
        <w:tblW w:w="7817" w:type="dxa"/>
        <w:jc w:val="left"/>
        <w:tblInd w:w="1528" w:type="dxa"/>
        <w:tblLayout w:type="fixed"/>
        <w:tblCellMar>
          <w:top w:w="0" w:type="dxa"/>
          <w:left w:w="108" w:type="dxa"/>
          <w:bottom w:w="0" w:type="dxa"/>
          <w:right w:w="108" w:type="dxa"/>
        </w:tblCellMar>
        <w:tblLook w:firstRow="1" w:noVBand="1" w:lastRow="0" w:firstColumn="1" w:lastColumn="0" w:noHBand="0" w:val="04a0"/>
      </w:tblPr>
      <w:tblGrid>
        <w:gridCol w:w="1513"/>
        <w:gridCol w:w="853"/>
        <w:gridCol w:w="902"/>
        <w:gridCol w:w="1393"/>
        <w:gridCol w:w="3156"/>
      </w:tblGrid>
      <w:tr>
        <w:trPr>
          <w:trHeight w:val="300" w:hRule="atLeast"/>
        </w:trPr>
        <w:tc>
          <w:tcPr>
            <w:tcW w:w="151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Komponent</w:t>
            </w:r>
          </w:p>
        </w:tc>
        <w:tc>
          <w:tcPr>
            <w:tcW w:w="85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0" w:leader="none"/>
                <w:tab w:val="left" w:pos="993" w:leader="none"/>
              </w:tabs>
              <w:spacing w:before="0" w:after="0"/>
              <w:jc w:val="center"/>
              <w:rPr>
                <w:rFonts w:ascii="Aptos" w:hAnsi="Aptos" w:eastAsia="Aptos" w:cs="Aptos"/>
              </w:rPr>
            </w:pPr>
            <w:r>
              <w:rPr>
                <w:rFonts w:eastAsia="Aptos" w:cs="Aptos" w:ascii="Aptos" w:hAnsi="Aptos"/>
                <w:b/>
                <w:bCs/>
              </w:rPr>
              <w:t>vCPU</w:t>
            </w:r>
          </w:p>
        </w:tc>
        <w:tc>
          <w:tcPr>
            <w:tcW w:w="902"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0" w:leader="none"/>
                <w:tab w:val="left" w:pos="993" w:leader="none"/>
              </w:tabs>
              <w:spacing w:before="0" w:after="0"/>
              <w:jc w:val="center"/>
              <w:rPr>
                <w:rFonts w:ascii="Aptos" w:hAnsi="Aptos" w:eastAsia="Aptos" w:cs="Aptos"/>
              </w:rPr>
            </w:pPr>
            <w:r>
              <w:rPr>
                <w:rFonts w:eastAsia="Aptos" w:cs="Aptos" w:ascii="Aptos" w:hAnsi="Aptos"/>
                <w:b/>
                <w:bCs/>
              </w:rPr>
              <w:t>RAM</w:t>
            </w:r>
          </w:p>
        </w:tc>
        <w:tc>
          <w:tcPr>
            <w:tcW w:w="139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0" w:leader="none"/>
                <w:tab w:val="left" w:pos="993" w:leader="none"/>
              </w:tabs>
              <w:spacing w:before="0" w:after="0"/>
              <w:jc w:val="center"/>
              <w:rPr>
                <w:rFonts w:ascii="Aptos" w:hAnsi="Aptos" w:eastAsia="Aptos" w:cs="Aptos"/>
              </w:rPr>
            </w:pPr>
            <w:r>
              <w:rPr>
                <w:rFonts w:eastAsia="Aptos" w:cs="Aptos" w:ascii="Aptos" w:hAnsi="Aptos"/>
                <w:b/>
                <w:bCs/>
              </w:rPr>
              <w:t>HDD[GB]</w:t>
            </w:r>
          </w:p>
        </w:tc>
        <w:tc>
          <w:tcPr>
            <w:tcW w:w="3156"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0" w:leader="none"/>
                <w:tab w:val="left" w:pos="993" w:leader="none"/>
              </w:tabs>
              <w:spacing w:before="0" w:after="0"/>
              <w:jc w:val="center"/>
              <w:rPr>
                <w:rFonts w:ascii="Aptos" w:hAnsi="Aptos" w:eastAsia="Aptos" w:cs="Aptos"/>
              </w:rPr>
            </w:pPr>
            <w:r>
              <w:rPr>
                <w:rFonts w:eastAsia="Aptos" w:cs="Aptos" w:ascii="Aptos" w:hAnsi="Aptos"/>
                <w:b/>
                <w:bCs/>
              </w:rPr>
              <w:t>Uwagi</w:t>
            </w:r>
          </w:p>
        </w:tc>
      </w:tr>
      <w:tr>
        <w:trPr>
          <w:trHeight w:val="300" w:hRule="atLeast"/>
        </w:trPr>
        <w:tc>
          <w:tcPr>
            <w:tcW w:w="151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0" w:leader="none"/>
                <w:tab w:val="left" w:pos="993" w:leader="none"/>
              </w:tabs>
              <w:spacing w:before="0" w:after="0"/>
              <w:rPr/>
            </w:pPr>
            <w:r>
              <w:rPr>
                <w:rFonts w:eastAsia="Aptos" w:cs="Aptos" w:ascii="Aptos" w:hAnsi="Aptos"/>
              </w:rPr>
              <w:t>AMMS Monitoring</w:t>
            </w:r>
          </w:p>
        </w:tc>
        <w:tc>
          <w:tcPr>
            <w:tcW w:w="85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993" w:leader="none"/>
              </w:tabs>
              <w:spacing w:before="0" w:after="0"/>
              <w:rPr/>
            </w:pPr>
            <w:r>
              <w:rPr>
                <w:rFonts w:eastAsia="Aptos" w:cs="Aptos" w:ascii="Aptos" w:hAnsi="Aptos"/>
              </w:rPr>
              <w:t>8</w:t>
            </w:r>
          </w:p>
        </w:tc>
        <w:tc>
          <w:tcPr>
            <w:tcW w:w="902"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993" w:leader="none"/>
              </w:tabs>
              <w:spacing w:before="0" w:after="0"/>
              <w:rPr>
                <w:rFonts w:ascii="Aptos" w:hAnsi="Aptos" w:eastAsia="Aptos" w:cs="Aptos"/>
              </w:rPr>
            </w:pPr>
            <w:r>
              <w:rPr>
                <w:rFonts w:eastAsia="Aptos" w:cs="Aptos" w:ascii="Aptos" w:hAnsi="Aptos"/>
              </w:rPr>
              <w:t>12 GB</w:t>
            </w:r>
          </w:p>
        </w:tc>
        <w:tc>
          <w:tcPr>
            <w:tcW w:w="139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993" w:leader="none"/>
              </w:tabs>
              <w:spacing w:before="0" w:after="0"/>
              <w:rPr/>
            </w:pPr>
            <w:r>
              <w:rPr>
                <w:rFonts w:eastAsia="Aptos" w:cs="Aptos" w:ascii="Aptos" w:hAnsi="Aptos"/>
              </w:rPr>
              <w:t>400</w:t>
            </w:r>
          </w:p>
        </w:tc>
        <w:tc>
          <w:tcPr>
            <w:tcW w:w="3156"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708"/>
                <w:tab w:val="left" w:pos="993" w:leader="none"/>
              </w:tabs>
              <w:spacing w:before="0" w:after="0"/>
              <w:rPr>
                <w:rFonts w:ascii="Aptos" w:hAnsi="Aptos" w:eastAsia="Aptos" w:cs="Aptos"/>
              </w:rPr>
            </w:pPr>
            <w:r>
              <w:rPr>
                <w:rFonts w:eastAsia="Aptos" w:cs="Aptos" w:ascii="Aptos" w:hAnsi="Aptos"/>
              </w:rPr>
              <w:t xml:space="preserve">OS: Rocky Linux 9,5 64bit </w:t>
            </w:r>
            <w:r>
              <w:rPr>
                <w:rFonts w:eastAsia="Aptos" w:cs="Aptos" w:ascii="Aptos" w:hAnsi="Aptos"/>
                <w:lang w:val="en-US"/>
              </w:rPr>
              <w:t>(hostaname: mon-metrics)</w:t>
            </w:r>
          </w:p>
        </w:tc>
      </w:tr>
    </w:tbl>
    <w:p>
      <w:pPr>
        <w:pStyle w:val="Normal"/>
        <w:tabs>
          <w:tab w:val="clear" w:pos="708"/>
          <w:tab w:val="left" w:pos="993" w:leader="none"/>
        </w:tabs>
        <w:spacing w:before="0" w:after="0"/>
        <w:rPr/>
      </w:pPr>
      <w:r>
        <w:rPr>
          <w:rFonts w:eastAsia="Aptos" w:cs="Aptos" w:ascii="Aptos" w:hAnsi="Aptos"/>
          <w:lang w:val="en-US"/>
        </w:rPr>
        <w:t xml:space="preserve"> </w:t>
      </w:r>
    </w:p>
    <w:p>
      <w:pPr>
        <w:pStyle w:val="ListParagraph"/>
        <w:numPr>
          <w:ilvl w:val="1"/>
          <w:numId w:val="120"/>
        </w:numPr>
        <w:spacing w:lineRule="auto" w:line="259" w:before="0" w:after="0"/>
        <w:contextualSpacing/>
        <w:jc w:val="both"/>
        <w:rPr>
          <w:rFonts w:ascii="Aptos" w:hAnsi="Aptos" w:eastAsia="Aptos" w:cs="Aptos"/>
        </w:rPr>
      </w:pPr>
      <w:r>
        <w:rPr>
          <w:rFonts w:eastAsia="Aptos" w:cs="Aptos" w:ascii="Aptos" w:hAnsi="Aptos"/>
        </w:rPr>
        <w:t>Zapewnienie stałej dwukierunkowej komunikacji sieciowej z monitorowanymi hostami (brak blokad zapory dla wymaganych portów):</w:t>
      </w:r>
    </w:p>
    <w:p>
      <w:pPr>
        <w:pStyle w:val="ListParagraph"/>
        <w:numPr>
          <w:ilvl w:val="2"/>
          <w:numId w:val="120"/>
        </w:numPr>
        <w:spacing w:lineRule="auto" w:line="266" w:before="0" w:after="0"/>
        <w:ind w:hanging="360" w:left="2160" w:right="412"/>
        <w:contextualSpacing/>
        <w:jc w:val="both"/>
        <w:rPr>
          <w:rFonts w:ascii="Aptos" w:hAnsi="Aptos" w:eastAsia="Aptos" w:cs="Aptos"/>
        </w:rPr>
      </w:pPr>
      <w:r>
        <w:rPr>
          <w:rFonts w:eastAsia="Aptos" w:cs="Aptos" w:ascii="Aptos" w:hAnsi="Aptos"/>
        </w:rPr>
        <w:t>Z serwera „AMMS Monitoring” musi być zapewniony dostęp do wszystkich monitorowanych serwerów na porty uruchomionych i monitorowanych systemów (np. Platforma Integracyjna, WildFly, itd.), na porty bazodanowe (domyślnie: 1521) oraz dodatkowo na porty: 9102, 9103, 9417, 9943, 22,</w:t>
      </w:r>
    </w:p>
    <w:p>
      <w:pPr>
        <w:pStyle w:val="ListParagraph"/>
        <w:numPr>
          <w:ilvl w:val="2"/>
          <w:numId w:val="120"/>
        </w:numPr>
        <w:spacing w:lineRule="auto" w:line="266" w:before="0" w:after="0"/>
        <w:ind w:hanging="360" w:left="2160" w:right="412"/>
        <w:contextualSpacing/>
        <w:jc w:val="both"/>
        <w:rPr>
          <w:rFonts w:ascii="Aptos" w:hAnsi="Aptos" w:eastAsia="Aptos" w:cs="Aptos"/>
        </w:rPr>
      </w:pPr>
      <w:r>
        <w:rPr>
          <w:rFonts w:eastAsia="Aptos" w:cs="Aptos" w:ascii="Aptos" w:hAnsi="Aptos"/>
        </w:rPr>
        <w:t>Z serwera „AMMS Monitoring” musi być zapewniona odpowiedź po protokole ICMP do wszystkich monitorowanych serwerów.</w:t>
      </w:r>
    </w:p>
    <w:p>
      <w:pPr>
        <w:pStyle w:val="ListParagraph"/>
        <w:numPr>
          <w:ilvl w:val="1"/>
          <w:numId w:val="120"/>
        </w:numPr>
        <w:spacing w:lineRule="auto" w:line="266" w:before="0" w:after="0"/>
        <w:ind w:hanging="360" w:left="1440" w:right="412"/>
        <w:contextualSpacing/>
        <w:jc w:val="both"/>
        <w:rPr>
          <w:rFonts w:ascii="Aptos" w:hAnsi="Aptos" w:eastAsia="Aptos" w:cs="Aptos"/>
        </w:rPr>
      </w:pPr>
      <w:r>
        <w:rPr>
          <w:rFonts w:eastAsia="Aptos" w:cs="Aptos" w:ascii="Aptos" w:hAnsi="Aptos"/>
        </w:rPr>
        <w:t>Zapewnienie dostępu do mechanizmu powiadomień: konfiguracja SMTP/SMS.</w:t>
      </w:r>
    </w:p>
    <w:p>
      <w:pPr>
        <w:pStyle w:val="Normal"/>
        <w:tabs>
          <w:tab w:val="clear" w:pos="708"/>
          <w:tab w:val="left" w:pos="993" w:leader="none"/>
        </w:tabs>
        <w:spacing w:lineRule="auto" w:line="257" w:before="0" w:after="0"/>
        <w:ind w:left="360"/>
        <w:rPr/>
      </w:pPr>
      <w:r>
        <w:rPr>
          <w:rFonts w:eastAsia="Aptos" w:cs="Aptos" w:ascii="Aptos" w:hAnsi="Aptos"/>
          <w:color w:themeColor="text1" w:val="000000"/>
        </w:rPr>
        <w:t xml:space="preserve"> </w:t>
      </w:r>
    </w:p>
    <w:p>
      <w:pPr>
        <w:pStyle w:val="ListParagraph"/>
        <w:numPr>
          <w:ilvl w:val="0"/>
          <w:numId w:val="120"/>
        </w:numPr>
        <w:spacing w:lineRule="auto" w:line="257" w:before="0" w:after="0"/>
        <w:ind w:hanging="360" w:left="360"/>
        <w:contextualSpacing/>
        <w:rPr>
          <w:rFonts w:ascii="Aptos" w:hAnsi="Aptos" w:eastAsia="Aptos" w:cs="Aptos"/>
          <w:b/>
          <w:color w:themeColor="text1" w:val="000000"/>
        </w:rPr>
      </w:pPr>
      <w:r>
        <w:rPr>
          <w:rFonts w:eastAsia="Aptos" w:cs="Aptos" w:ascii="Aptos" w:hAnsi="Aptos"/>
          <w:b/>
          <w:bCs/>
          <w:color w:themeColor="text1" w:val="000000"/>
        </w:rPr>
        <w:t>Wymagania organizacyjne:</w:t>
      </w:r>
    </w:p>
    <w:p>
      <w:pPr>
        <w:pStyle w:val="ListParagraph"/>
        <w:numPr>
          <w:ilvl w:val="1"/>
          <w:numId w:val="119"/>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 xml:space="preserve">Przygotowanie środowiska i instalacja komponentów oprogramowania AMMS Monitoring oraz zapewnienie powyższych warunków Startowych i spełnienie Wymagań Technicznych. </w:t>
      </w:r>
    </w:p>
    <w:p>
      <w:pPr>
        <w:pStyle w:val="ListParagraph"/>
        <w:numPr>
          <w:ilvl w:val="1"/>
          <w:numId w:val="119"/>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Wyznaczenie osoby po stronie Jednostki odpowiedzialnej za wdrożenie systemu</w:t>
      </w:r>
    </w:p>
    <w:p>
      <w:pPr>
        <w:pStyle w:val="ListParagraph"/>
        <w:numPr>
          <w:ilvl w:val="1"/>
          <w:numId w:val="119"/>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Wskazanie osób merytorycznych odpowiedzialnych za reagowanie na</w:t>
      </w:r>
      <w:r>
        <w:rPr>
          <w:rFonts w:eastAsia="Aptos" w:cs="Aptos" w:ascii="Aptos" w:hAnsi="Aptos"/>
        </w:rPr>
        <w:t xml:space="preserve"> </w:t>
      </w:r>
      <w:r>
        <w:rPr>
          <w:rFonts w:eastAsia="Aptos" w:cs="Aptos" w:ascii="Aptos" w:hAnsi="Aptos"/>
          <w:color w:themeColor="text1" w:val="000000"/>
        </w:rPr>
        <w:t xml:space="preserve">incydenty zgłaszane przez system monitoringu w Jednostce. </w:t>
      </w:r>
    </w:p>
    <w:p>
      <w:pPr>
        <w:pStyle w:val="Normal"/>
        <w:tabs>
          <w:tab w:val="clear" w:pos="708"/>
          <w:tab w:val="left" w:pos="993" w:leader="none"/>
        </w:tabs>
        <w:spacing w:before="0" w:after="0"/>
        <w:ind w:left="1440"/>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spacing w:lineRule="auto" w:line="257"/>
        <w:rPr/>
      </w:pPr>
      <w:r>
        <w:rPr>
          <w:rFonts w:eastAsia="Aptos" w:cs="Aptos" w:ascii="Aptos" w:hAnsi="Aptos"/>
          <w:color w:themeColor="text1" w:val="000000"/>
        </w:rPr>
        <w:t>Opis tego, co musi zostać uruchomione i skonfigurowane w ramach wdrożenia:</w:t>
      </w:r>
    </w:p>
    <w:p>
      <w:pPr>
        <w:pStyle w:val="ListParagraph"/>
        <w:numPr>
          <w:ilvl w:val="0"/>
          <w:numId w:val="119"/>
        </w:numPr>
        <w:spacing w:lineRule="auto" w:line="259" w:before="0" w:after="0"/>
        <w:ind w:hanging="357" w:left="720"/>
        <w:contextualSpacing/>
        <w:rPr>
          <w:rFonts w:ascii="Aptos" w:hAnsi="Aptos" w:eastAsia="Aptos" w:cs="Aptos"/>
          <w:b/>
          <w:color w:themeColor="text1" w:val="000000"/>
        </w:rPr>
      </w:pPr>
      <w:r>
        <w:rPr>
          <w:rFonts w:eastAsia="Aptos" w:cs="Aptos" w:ascii="Aptos" w:hAnsi="Aptos"/>
          <w:b/>
          <w:color w:themeColor="text1" w:val="000000"/>
        </w:rPr>
        <w:t>Elementy do uruchomienia:</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System AMMS/EDM/PI,</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Serwer AMMS Monitoring,</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Agent systemu Linux/Windows,</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Baza danych systemu AMMS/EDM.</w:t>
      </w:r>
    </w:p>
    <w:p>
      <w:pPr>
        <w:pStyle w:val="Normal"/>
        <w:tabs>
          <w:tab w:val="clear" w:pos="708"/>
          <w:tab w:val="left" w:pos="993" w:leader="none"/>
        </w:tabs>
        <w:spacing w:before="0" w:after="0"/>
        <w:ind w:left="1440"/>
        <w:rPr/>
      </w:pPr>
      <w:r>
        <w:rPr>
          <w:rFonts w:eastAsia="Aptos" w:cs="Aptos" w:ascii="Aptos" w:hAnsi="Aptos"/>
          <w:color w:themeColor="text1" w:val="000000"/>
        </w:rPr>
        <w:t xml:space="preserve"> </w:t>
      </w:r>
    </w:p>
    <w:p>
      <w:pPr>
        <w:pStyle w:val="ListParagraph"/>
        <w:numPr>
          <w:ilvl w:val="0"/>
          <w:numId w:val="119"/>
        </w:numPr>
        <w:spacing w:lineRule="auto" w:line="259" w:before="0" w:after="0"/>
        <w:ind w:hanging="357" w:left="720"/>
        <w:contextualSpacing/>
        <w:rPr>
          <w:rFonts w:ascii="Aptos" w:hAnsi="Aptos" w:eastAsia="Aptos" w:cs="Aptos"/>
          <w:b/>
          <w:color w:themeColor="text1" w:val="000000"/>
        </w:rPr>
      </w:pPr>
      <w:r>
        <w:rPr>
          <w:rFonts w:eastAsia="Aptos" w:cs="Aptos" w:ascii="Aptos" w:hAnsi="Aptos"/>
          <w:b/>
          <w:color w:themeColor="text1" w:val="000000"/>
        </w:rPr>
        <w:t>Parametryzacja środowiska:</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Wgranie licencji MONITORING_MODULE,</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Uzupełnienie parametrów konfiguracyjnych modułu AMMS MONITORING w systemie HIS w dedykowanym do tego celu panelu administracyjnym,</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Uzupełnienie listy monitorowanych komponentów w systemie HIS w dedykowanym do tego celu panelu administracyjnym,</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Utworzenie użytkownika modułu AMMS MONITORING w systemie HIS w dedykowanym do tego celu panelu administracyjnym.</w:t>
      </w:r>
    </w:p>
    <w:p>
      <w:pPr>
        <w:pStyle w:val="Normal"/>
        <w:tabs>
          <w:tab w:val="clear" w:pos="708"/>
          <w:tab w:val="left" w:pos="993" w:leader="none"/>
        </w:tabs>
        <w:spacing w:before="0" w:after="0"/>
        <w:ind w:left="1440"/>
        <w:rPr/>
      </w:pPr>
      <w:r>
        <w:rPr>
          <w:rFonts w:eastAsia="Aptos" w:cs="Aptos" w:ascii="Aptos" w:hAnsi="Aptos"/>
          <w:color w:themeColor="text1" w:val="000000"/>
        </w:rPr>
        <w:t xml:space="preserve"> </w:t>
      </w:r>
    </w:p>
    <w:p>
      <w:pPr>
        <w:pStyle w:val="ListParagraph"/>
        <w:numPr>
          <w:ilvl w:val="0"/>
          <w:numId w:val="119"/>
        </w:numPr>
        <w:spacing w:lineRule="auto" w:line="259" w:before="0" w:after="0"/>
        <w:ind w:hanging="357" w:left="720"/>
        <w:contextualSpacing/>
        <w:rPr>
          <w:rFonts w:ascii="Aptos" w:hAnsi="Aptos" w:eastAsia="Aptos" w:cs="Aptos"/>
          <w:b/>
          <w:color w:themeColor="text1" w:val="000000"/>
        </w:rPr>
      </w:pPr>
      <w:r>
        <w:rPr>
          <w:rFonts w:eastAsia="Aptos" w:cs="Aptos" w:ascii="Aptos" w:hAnsi="Aptos"/>
          <w:b/>
          <w:color w:themeColor="text1" w:val="000000"/>
        </w:rPr>
        <w:t>Kolejność uruchamiania komponentów:</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Serwer bazy danych systemu HIS</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System HIS/EDM/PI</w:t>
      </w:r>
    </w:p>
    <w:p>
      <w:pPr>
        <w:pStyle w:val="ListParagraph"/>
        <w:numPr>
          <w:ilvl w:val="1"/>
          <w:numId w:val="119"/>
        </w:numPr>
        <w:spacing w:lineRule="auto" w:line="259" w:before="0" w:after="0"/>
        <w:ind w:hanging="357" w:left="1440"/>
        <w:contextualSpacing/>
        <w:rPr>
          <w:rFonts w:ascii="Aptos" w:hAnsi="Aptos" w:eastAsia="Aptos" w:cs="Aptos"/>
          <w:color w:themeColor="text1" w:val="000000"/>
        </w:rPr>
      </w:pPr>
      <w:r>
        <w:rPr>
          <w:rFonts w:eastAsia="Aptos" w:cs="Aptos" w:ascii="Aptos" w:hAnsi="Aptos"/>
          <w:color w:themeColor="text1" w:val="000000"/>
        </w:rPr>
        <w:t>Serwer AMMS Monitoring</w:t>
      </w:r>
    </w:p>
    <w:p>
      <w:pPr>
        <w:pStyle w:val="ListParagraph"/>
        <w:numPr>
          <w:ilvl w:val="1"/>
          <w:numId w:val="119"/>
        </w:numPr>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Agent AMMS Monitoring</w:t>
      </w:r>
    </w:p>
    <w:p>
      <w:pPr>
        <w:pStyle w:val="Normal"/>
        <w:rPr/>
      </w:pPr>
      <w:r>
        <w:rPr/>
      </w:r>
    </w:p>
    <w:p>
      <w:pPr>
        <w:pStyle w:val="Normal"/>
        <w:tabs>
          <w:tab w:val="clear" w:pos="708"/>
          <w:tab w:val="left" w:pos="993" w:leader="none"/>
        </w:tabs>
        <w:jc w:val="center"/>
        <w:rPr>
          <w:rFonts w:ascii="Aptos" w:hAnsi="Aptos" w:eastAsia="Aptos" w:cs="Aptos"/>
          <w:color w:themeColor="text1" w:val="000000"/>
        </w:rPr>
      </w:pPr>
      <w:r>
        <w:rPr>
          <w:rFonts w:eastAsia="Aptos" w:cs="Aptos" w:ascii="Aptos" w:hAnsi="Aptos"/>
          <w:b/>
          <w:bCs/>
          <w:color w:val="00B0F0"/>
          <w:sz w:val="32"/>
          <w:szCs w:val="32"/>
        </w:rPr>
        <w:t>13.Rozszerzenie EDM o nowe dokumenty ustawowe wraz z monitorowaniem (2025)</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94"/>
        </w:numPr>
        <w:tabs>
          <w:tab w:val="clear" w:pos="708"/>
          <w:tab w:val="left" w:pos="993" w:leader="none"/>
        </w:tabs>
        <w:spacing w:lineRule="auto" w:line="259" w:before="0" w:after="160"/>
        <w:contextualSpacing/>
        <w:rPr>
          <w:rFonts w:ascii="Aptos" w:hAnsi="Aptos" w:eastAsia="Aptos" w:cs="Aptos"/>
          <w:color w:themeColor="text1" w:val="000000"/>
        </w:rPr>
      </w:pPr>
      <w:r>
        <w:rPr>
          <w:b/>
          <w:bCs/>
        </w:rPr>
        <w:t>Wymagania funkcjonalne</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System musi posiadać możliwość generowania poniższych dokumentów w postaci elektronicznej, zgodnie z obowiązującym standardem i obowiązującymi przepisami prawa (o ile przepisy nie wskazują, że dokumenty są generowane poza systemem HIS): </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opisy badań histopatologicznych,</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opisy badań cytologicznych,</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diagnostyki i leczenia onkologicznego (e-DILO),</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plan leczenia onkologicznego,</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Patient Summary (Karta zdrowia pacjenta),</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opieki kardiologicznej (e-KOK),</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medycznych czynności ratunkowych,</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medyczna lotniczego zespołu ratownictwa medycznego,</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dokumenty medycyny pracy (dokument orzeczenia lekarskiego oraz wytyczne wynikające z</w:t>
      </w:r>
      <w:r>
        <w:rPr>
          <w:rFonts w:eastAsia="Aptos" w:cs="Arial" w:ascii="Arial" w:hAnsi="Arial"/>
          <w:color w:themeColor="text1" w:val="000000"/>
        </w:rPr>
        <w:t> </w:t>
      </w:r>
      <w:r>
        <w:rPr>
          <w:rFonts w:eastAsia="Aptos" w:cs="Aptos" w:ascii="Aptos" w:hAnsi="Aptos"/>
          <w:color w:themeColor="text1" w:val="000000"/>
        </w:rPr>
        <w:t>warunków pracy lub stanowiska pracy).</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integrację z Platformą P1 w zakresie poniżej wskazanych typów dokumentów:</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e-wyniki i opisy badań histopatologicznych,</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e-wyniki i opisy badań cytologicznych,</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diagnostyki i leczenia onkologicznego (e-DILO),</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plan leczenia onkologicznego,</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Patient Summary (Karta zdrowia pacjenta),</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opieki kardiologicznej (e-KOK),</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medycznych czynności ratunkowych,</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karta medyczna lotniczego zespołu ratownictwa medycznego,</w:t>
      </w:r>
    </w:p>
    <w:p>
      <w:pPr>
        <w:pStyle w:val="Normal"/>
        <w:tabs>
          <w:tab w:val="clear" w:pos="708"/>
          <w:tab w:val="left" w:pos="993" w:leader="none"/>
        </w:tabs>
        <w:spacing w:before="0" w:after="0"/>
        <w:ind w:left="2124"/>
        <w:rPr>
          <w:rFonts w:ascii="Aptos" w:hAnsi="Aptos" w:eastAsia="Aptos" w:cs="Aptos"/>
          <w:color w:themeColor="text1" w:val="000000"/>
        </w:rPr>
      </w:pPr>
      <w:r>
        <w:rPr>
          <w:rFonts w:eastAsia="Aptos" w:cs="Aptos" w:ascii="Aptos" w:hAnsi="Aptos"/>
          <w:color w:themeColor="text1" w:val="000000"/>
        </w:rPr>
        <w:t>- dokumenty medycyny pracy (dokument orzeczenia lekarskiego oraz wytyczne wynikające z</w:t>
      </w:r>
      <w:r>
        <w:rPr>
          <w:rFonts w:eastAsia="Aptos" w:cs="Arial" w:ascii="Arial" w:hAnsi="Arial"/>
          <w:color w:themeColor="text1" w:val="000000"/>
        </w:rPr>
        <w:t> </w:t>
      </w:r>
      <w:r>
        <w:rPr>
          <w:rFonts w:eastAsia="Aptos" w:cs="Aptos" w:ascii="Aptos" w:hAnsi="Aptos"/>
          <w:color w:themeColor="text1" w:val="000000"/>
        </w:rPr>
        <w:t>warunków pracy lub stanowiska pracy).</w:t>
      </w:r>
    </w:p>
    <w:p>
      <w:pPr>
        <w:pStyle w:val="Normal"/>
        <w:tabs>
          <w:tab w:val="clear" w:pos="708"/>
          <w:tab w:val="left" w:pos="993" w:leader="none"/>
        </w:tabs>
        <w:spacing w:before="0" w:after="0"/>
        <w:ind w:left="1416"/>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Wewnętrzne integracje:</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 realizacji procesów objętych produktem biorą udział komponenty HIS, repozytorium EDM oraz komponenty brzegowe odpowiedzialne bezpośrednio za integrację z systemem P1</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Rozwiązanie obejmuje integrację z systemem P1 w zakresie związanym z obsługą i wymianą ww. dokumentów (usługi z zakresu ogólnej wymiany EDM lub usługi dedykowane dla danego typu dokumentu – jak np. usługa generacji Patient Summary, Karta eDiLO).</w:t>
      </w:r>
    </w:p>
    <w:p>
      <w:pPr>
        <w:pStyle w:val="ListParagraph"/>
        <w:tabs>
          <w:tab w:val="clear" w:pos="708"/>
          <w:tab w:val="left" w:pos="993" w:leader="none"/>
        </w:tabs>
        <w:ind w:lef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94"/>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Funkcjonalność opiera się na systemie HIS zintegrowanym z repozytorium EDM oraz komponentami odpowiedzialnymi za komunikację z P1.</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lef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wygenerowanie dokumentów zgodnie z obowiązującym formatem (w zakresie przyporządkowanym do systemu HIS; np. dokument Patient Summary jest generowany po stronie systemu P1).</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przekazywanie dokumentów lub ich indeksów do systemu P1 (w zależności od usług dostępnych dla danego typu dokumentu).</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wyszukiwanie i pobieranie w ramach platformy P1 dokumentów wymienionych typów (w zależności od usług dostępnych dla danego typu dokumentu).</w:t>
      </w:r>
    </w:p>
    <w:p>
      <w:pPr>
        <w:pStyle w:val="ListParagraph"/>
        <w:numPr>
          <w:ilvl w:val="0"/>
          <w:numId w:val="10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Daje możliwość dostępu do statystyk wykorzystania poszczególnych usług centralnych, w szczególności umożliwia monitorowanie zwiększenia poziomu zaindeksowanej EDM w zakresie wyników badań laboratoryjnych lub opisów badań diagnostycznych.</w:t>
      </w:r>
    </w:p>
    <w:p>
      <w:pPr>
        <w:pStyle w:val="ListParagraph"/>
        <w:numPr>
          <w:ilvl w:val="0"/>
          <w:numId w:val="10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wymianę danych w standardzie FHIR w zakresie KSO (karta eDiLO i plan leczenia onkologicznego).</w:t>
      </w:r>
    </w:p>
    <w:p>
      <w:pPr>
        <w:pStyle w:val="Normal"/>
        <w:tabs>
          <w:tab w:val="clear" w:pos="708"/>
          <w:tab w:val="left" w:pos="993" w:leader="none"/>
        </w:tabs>
        <w:ind w:left="72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Warunki startowe (minimalna wersja AMMS)</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 xml:space="preserve">Licencja: </w:t>
      </w:r>
    </w:p>
    <w:p>
      <w:pPr>
        <w:pStyle w:val="Normal"/>
        <w:tabs>
          <w:tab w:val="clear" w:pos="708"/>
          <w:tab w:val="left" w:pos="993" w:leader="none"/>
        </w:tabs>
        <w:spacing w:lineRule="auto" w:line="240" w:before="0" w:after="0"/>
        <w:ind w:left="720"/>
        <w:rPr>
          <w:rFonts w:ascii="Aptos" w:hAnsi="Aptos" w:eastAsia="Aptos" w:cs="Aptos"/>
          <w:color w:themeColor="text1" w:val="000000"/>
        </w:rPr>
      </w:pPr>
      <w:r>
        <w:rPr>
          <w:rFonts w:eastAsia="Aptos" w:cs="Aptos" w:ascii="Aptos" w:hAnsi="Aptos"/>
          <w:color w:themeColor="text1" w:val="000000"/>
        </w:rPr>
        <w:tab/>
        <w:tab/>
        <w:t>Licencja na funkcjonalność</w:t>
      </w:r>
    </w:p>
    <w:p>
      <w:pPr>
        <w:pStyle w:val="ListParagraph"/>
        <w:tabs>
          <w:tab w:val="clear" w:pos="708"/>
          <w:tab w:val="left" w:pos="993" w:leader="none"/>
        </w:tabs>
        <w:spacing w:lineRule="auto" w:line="240" w:before="0" w:after="0"/>
        <w:ind w:left="1440"/>
        <w:contextualSpacing/>
        <w:rPr>
          <w:rFonts w:ascii="Aptos" w:hAnsi="Aptos" w:eastAsia="Aptos" w:cs="Aptos"/>
          <w:color w:themeColor="text1" w:val="000000"/>
        </w:rPr>
      </w:pPr>
      <w:r>
        <w:rPr>
          <w:rFonts w:eastAsia="Aptos" w:cs="Aptos" w:ascii="Aptos" w:hAnsi="Aptos"/>
          <w:color w:themeColor="text1" w:val="000000"/>
        </w:rPr>
        <w:t>Działająca integracja z systemem P1 w zakresie wymiany EDM</w:t>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91"/>
        </w:numPr>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t>W zakresie KSO – zapewnienie zasobów dla komponentu odpowiedzialnego za komunikację z usługami FHIR (wymagania jak dla komponentu brzegowego Zdarzeń Medycznych). W pozostałym zakresie rozwiązanie opiera się o istniejące komponenty. W przypadku braku jakichkolwiek rezerw wydajnościowych na maszynach obsługujących instalacje AMDX i komponent P1 adapter, zalecane jest zwiększenie zasobów o około 10%.</w:t>
      </w:r>
    </w:p>
    <w:p>
      <w:pPr>
        <w:pStyle w:val="ListParagraph"/>
        <w:tabs>
          <w:tab w:val="clear" w:pos="708"/>
          <w:tab w:val="left" w:pos="993" w:leader="none"/>
        </w:tabs>
        <w:spacing w:lineRule="auto" w:line="240" w:before="0" w:after="0"/>
        <w:ind w:hanging="357" w:lef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2"/>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92"/>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Podmiot zintegrowany z platformą P1 (w szczególności aktywne konto podmiotu w P1 i aktualne certyfikaty dostępowe).</w:t>
      </w:r>
    </w:p>
    <w:p>
      <w:pPr>
        <w:pStyle w:val="ListParagraph"/>
        <w:tabs>
          <w:tab w:val="clear" w:pos="708"/>
          <w:tab w:val="left" w:pos="993" w:leader="none"/>
        </w:tabs>
        <w:spacing w:lineRule="auto" w:line="240" w:before="0" w:after="0"/>
        <w:ind w:left="1440"/>
        <w:contextualSpacing/>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ind w:left="72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Aktualizacja AMDX i adaptera P1</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Instalacja komponentów odpowiedzialnych za integrację z usługami FHIR w zakresie KSO</w:t>
      </w:r>
    </w:p>
    <w:p>
      <w:pPr>
        <w:pStyle w:val="ListParagraph"/>
        <w:numPr>
          <w:ilvl w:val="0"/>
          <w:numId w:val="11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Uzupełnienie konfiguracji zgodnie z dostarczoną dokumentacją (np. ustawienie adresów nowych usług P1)</w:t>
      </w:r>
    </w:p>
    <w:p>
      <w:pPr>
        <w:pStyle w:val="Normal"/>
        <w:tabs>
          <w:tab w:val="clear" w:pos="708"/>
          <w:tab w:val="left" w:pos="993" w:leader="none"/>
        </w:tabs>
        <w:spacing w:before="0" w:after="0"/>
        <w:jc w:val="center"/>
        <w:rPr>
          <w:rFonts w:ascii="Alef" w:hAnsi="Alef"/>
          <w:color w:val="3465A4"/>
        </w:rPr>
      </w:pPr>
      <w:r>
        <w:rPr>
          <w:rFonts w:eastAsia="Aptos" w:cs="Aptos" w:ascii="Alef" w:hAnsi="Alef"/>
          <w:b/>
          <w:bCs/>
          <w:color w:val="3465A4"/>
          <w:sz w:val="32"/>
          <w:szCs w:val="32"/>
        </w:rPr>
        <w:t>14.</w:t>
      </w:r>
      <w:r>
        <w:rPr>
          <w:rFonts w:eastAsia="Aptos" w:cs="Tahoma" w:ascii="Alef" w:hAnsi="Alef"/>
          <w:b/>
          <w:bCs/>
          <w:i w:val="false"/>
          <w:strike w:val="false"/>
          <w:dstrike w:val="false"/>
          <w:outline w:val="false"/>
          <w:shadow w:val="false"/>
          <w:color w:val="3465A4"/>
          <w:sz w:val="32"/>
          <w:szCs w:val="32"/>
          <w:u w:val="none"/>
          <w:em w:val="none"/>
        </w:rPr>
        <w:t>Interfejs indeksujący skanowaną dokumentację papierową (</w:t>
      </w:r>
      <w:r>
        <w:rPr>
          <w:rFonts w:eastAsia="Aptos" w:cs="Aptos" w:ascii="Alef" w:hAnsi="Alef"/>
          <w:b/>
          <w:bCs/>
          <w:color w:val="3465A4"/>
          <w:sz w:val="32"/>
          <w:szCs w:val="32"/>
        </w:rPr>
        <w:t>Integracja z P1 - wsparcie digitalizacji dokumentacji medycznej)</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ListParagraph"/>
        <w:numPr>
          <w:ilvl w:val="0"/>
          <w:numId w:val="94"/>
        </w:numPr>
        <w:tabs>
          <w:tab w:val="clear" w:pos="708"/>
          <w:tab w:val="left" w:pos="993" w:leader="none"/>
        </w:tabs>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Możliwość monitorowania poziomu zaindeksowania dokumentów (karty informacyjne) - z uwzględnieniem kart przekazanych do centralnego repozytorium Centrum e-Zdrowia dla zdigitalizowanej papierowej dokumentacji medycznej z podziałem na jednostki organizacyjne (możliwość monitorowania wskaźnika na poziomie kierowników poszczególnych jednostek org.), z dokładnością do miesiąca.</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Możliwość ponownej wysyłki indeksów do P1 i przeglądu błędów indeksacji z poziomu GUI HIS (w tym możliwość wykonania reindeksacji w trybie synchronicznym bezpośrednio z ekranu dokumentacji medycznej w danych pobytu pacjenta w szpitalu.)</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 xml:space="preserve">Możliwość wymuszenia reindeksacji z poziomu GUI repozytorium EDM </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Funkcjonalność tworzenia dokumentów elektronicznych zgodnych z szablonem PIK HL7 CDA dla dokumentów zdigitalizowanych na bazie zarejestrowanych w systemie dokumentów zeskanowanych.</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Możliwość poświadczenia zgodności dokumentu zdigitalizowanego z oryginałem przez złożenie podpisu elektronicznego.</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Integracja z platformą P1 zgodnie z udostępnioną specyfikacją usług dla dokumentów zdigitalizowanych.</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Automatyczna reindeksacja dokumentów, dla których ustała przyczyna braku możliwości zaindeksowania (np. przekazano z opóźnieniem ZM) – proces działający w tle w oparciu o dostarczoną konfigurację.</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Możliwość przebudowy indeksu dokumentu i wysyłki do P1 bez konieczności tworzenia i podpisu nowej wersji dokumentu w przypadku braku ID ZM</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Prezentacja wskaźników indeksacji dokumentów oraz listy problemów związanych z indeksacją danych w systemie P1</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Wskazanie działań naprawczych dla problemów indeksacji dokumentów w P1 i dostęp do funkcjonalności je realizujących</w:t>
      </w:r>
    </w:p>
    <w:p>
      <w:pPr>
        <w:pStyle w:val="ListParagraph"/>
        <w:numPr>
          <w:ilvl w:val="0"/>
          <w:numId w:val="94"/>
        </w:numPr>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color w:themeColor="text1" w:val="000000"/>
        </w:rPr>
        <w:t>Przygotowanie listy dokumentów podlegających indeksowaniu w P1, ale niezaindeksowanych</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94"/>
        </w:numPr>
        <w:tabs>
          <w:tab w:val="clear" w:pos="708"/>
          <w:tab w:val="left" w:pos="993" w:leader="none"/>
        </w:tabs>
        <w:spacing w:lineRule="auto" w:line="259" w:before="0" w:after="160"/>
        <w:ind w:hanging="360" w:left="1080"/>
        <w:contextualSpacing/>
        <w:jc w:val="both"/>
        <w:rPr>
          <w:rFonts w:ascii="Aptos" w:hAnsi="Aptos" w:eastAsia="Aptos" w:cs="Aptos"/>
          <w:color w:themeColor="text1" w:val="000000"/>
        </w:rPr>
      </w:pPr>
      <w:r>
        <w:rPr>
          <w:rFonts w:eastAsia="Aptos" w:cs="Aptos" w:ascii="Aptos" w:hAnsi="Aptos"/>
          <w:color w:themeColor="text1" w:val="000000"/>
        </w:rPr>
        <w:t>Rozwiązanie obejmuje integrację z systemem P1 w zakresie związanym z obsługą dokumentów zdigitalizowanych.</w:t>
      </w:r>
    </w:p>
    <w:p>
      <w:pPr>
        <w:pStyle w:val="ListParagraph"/>
        <w:tabs>
          <w:tab w:val="clear" w:pos="708"/>
          <w:tab w:val="left" w:pos="993" w:leader="none"/>
        </w:tabs>
        <w:ind w:left="144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4"/>
        </w:numPr>
        <w:tabs>
          <w:tab w:val="clear" w:pos="708"/>
          <w:tab w:val="left" w:pos="993" w:leader="none"/>
        </w:tabs>
        <w:spacing w:lineRule="auto" w:line="259" w:before="0" w:after="160"/>
        <w:ind w:hanging="360" w:left="360"/>
        <w:contextualSpacing/>
        <w:jc w:val="both"/>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94"/>
        </w:numPr>
        <w:tabs>
          <w:tab w:val="clear" w:pos="708"/>
          <w:tab w:val="left" w:pos="993" w:leader="none"/>
        </w:tabs>
        <w:spacing w:lineRule="auto" w:line="259" w:before="0" w:after="160"/>
        <w:ind w:hanging="360" w:left="1080"/>
        <w:contextualSpacing/>
        <w:jc w:val="both"/>
        <w:rPr>
          <w:rFonts w:ascii="Aptos" w:hAnsi="Aptos" w:eastAsia="Aptos" w:cs="Aptos"/>
          <w:color w:themeColor="text1" w:val="000000"/>
        </w:rPr>
      </w:pPr>
      <w:r>
        <w:rPr>
          <w:rFonts w:eastAsia="Aptos" w:cs="Aptos" w:ascii="Aptos" w:hAnsi="Aptos"/>
          <w:color w:themeColor="text1" w:val="000000"/>
        </w:rPr>
        <w:t>Funkcjonalność opiera się na systemie HIS zintegrowanym z repozytorium EDM oraz komponentem odpowiedzialnym za komunikację z P1.</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lef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108"/>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monitorowanie poziomu zaindeksowania dokumentów (karty informacyjne) z uwzględnieniem kart przekazanych do centralnego repozytorium Centrum e-Zdrowia dla zdigitalizowanej papierowej dokumentacji medycznej – prezentuje poprawne wartości statystyk zgodnie z liczbą przekazanych dokumentów lub indeksów.</w:t>
      </w:r>
    </w:p>
    <w:p>
      <w:pPr>
        <w:pStyle w:val="ListParagraph"/>
        <w:tabs>
          <w:tab w:val="clear" w:pos="708"/>
          <w:tab w:val="left" w:pos="993" w:leader="none"/>
        </w:tabs>
        <w:ind w:left="108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0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tworzenie dokumentów elektronicznych zgodnych z szablonem PIK HL7 CDA dla dokumentów zdigitalizowanych i ich utrwalenie w repozytorium EDM.</w:t>
      </w:r>
    </w:p>
    <w:p>
      <w:pPr>
        <w:pStyle w:val="ListParagraph"/>
        <w:numPr>
          <w:ilvl w:val="0"/>
          <w:numId w:val="108"/>
        </w:numPr>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przekazanie dokumentów zdigitalizowanych do platformy P1 zgodnie z udostępnioną specyfikacją usług.</w:t>
      </w:r>
    </w:p>
    <w:p>
      <w:pPr>
        <w:pStyle w:val="ListParagraph"/>
        <w:numPr>
          <w:ilvl w:val="0"/>
          <w:numId w:val="108"/>
        </w:numPr>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wymuszenie wysyłki indeksu dokumentu EDM do systemu P1 z poziomu GUI.</w:t>
      </w:r>
    </w:p>
    <w:p>
      <w:pPr>
        <w:pStyle w:val="ListParagraph"/>
        <w:ind w:left="108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9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Licencja: Licencja na funkcjonalność.</w:t>
      </w:r>
    </w:p>
    <w:p>
      <w:pPr>
        <w:pStyle w:val="ListParagraph"/>
        <w:numPr>
          <w:ilvl w:val="1"/>
          <w:numId w:val="9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Działająca integracja z systemem P1 w zakresie wymiany EDM.</w:t>
      </w:r>
    </w:p>
    <w:p>
      <w:pPr>
        <w:pStyle w:val="ListParagraph"/>
        <w:tabs>
          <w:tab w:val="clear" w:pos="708"/>
          <w:tab w:val="left" w:pos="993" w:leader="none"/>
        </w:tabs>
        <w:spacing w:lineRule="auto" w:line="240" w:before="0" w:after="0"/>
        <w:ind w:lef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9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 xml:space="preserve">Rozwiązanie opiera się o istniejące komponenty. </w:t>
      </w:r>
    </w:p>
    <w:p>
      <w:pPr>
        <w:pStyle w:val="ListParagraph"/>
        <w:numPr>
          <w:ilvl w:val="1"/>
          <w:numId w:val="91"/>
        </w:numPr>
        <w:tabs>
          <w:tab w:val="clear" w:pos="708"/>
          <w:tab w:val="left" w:pos="993" w:leader="none"/>
        </w:tabs>
        <w:spacing w:lineRule="auto" w:line="240" w:before="0" w:after="0"/>
        <w:ind w:hanging="357" w:left="1440"/>
        <w:contextualSpacing/>
        <w:jc w:val="both"/>
        <w:rPr>
          <w:rFonts w:ascii="Aptos" w:hAnsi="Aptos" w:eastAsia="Aptos" w:cs="Aptos"/>
          <w:color w:themeColor="text1" w:val="000000"/>
        </w:rPr>
      </w:pPr>
      <w:r>
        <w:rPr>
          <w:rFonts w:eastAsia="Aptos" w:cs="Aptos" w:ascii="Aptos" w:hAnsi="Aptos"/>
          <w:color w:themeColor="text1" w:val="000000"/>
        </w:rPr>
        <w:t>Jako wsparcie/usprawnienie w digitalizacji mogą być wykorzystywane urządzenia skanujące dostawców zewnętrznych – zapewnienie zasobów zgodnie z ich wymaganiami.</w:t>
      </w:r>
    </w:p>
    <w:p>
      <w:pPr>
        <w:pStyle w:val="ListParagraph"/>
        <w:tabs>
          <w:tab w:val="clear" w:pos="708"/>
          <w:tab w:val="left" w:pos="993" w:leader="none"/>
        </w:tabs>
        <w:spacing w:lineRule="auto" w:line="240" w:before="0" w:after="0"/>
        <w:ind w:lef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9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9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Podmiot zintegrowany z platformą P1 (w szczególności aktywne konto podmiotu w P1 i aktualne certyfikaty dostępowe).</w:t>
      </w:r>
    </w:p>
    <w:p>
      <w:pPr>
        <w:pStyle w:val="ListParagraph"/>
        <w:numPr>
          <w:ilvl w:val="1"/>
          <w:numId w:val="9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 przypadku wykorzystania systemów zewnętrznych, licencja na integrację.</w:t>
      </w:r>
    </w:p>
    <w:p>
      <w:pPr>
        <w:pStyle w:val="ListParagraph"/>
        <w:tabs>
          <w:tab w:val="clear" w:pos="708"/>
          <w:tab w:val="left" w:pos="993" w:leader="none"/>
        </w:tabs>
        <w:spacing w:lineRule="auto" w:line="240" w:before="0" w:after="0"/>
        <w:ind w:left="1440"/>
        <w:contextualSpacing/>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rPr/>
      </w:pPr>
      <w:r>
        <w:rPr/>
        <w:t>Wdrożeni kończy się na instalacji systemu.</w:t>
      </w:r>
      <w:r>
        <w:br w:type="page"/>
      </w:r>
    </w:p>
    <w:p>
      <w:pPr>
        <w:pStyle w:val="Normal"/>
        <w:spacing w:before="0" w:after="0"/>
        <w:jc w:val="center"/>
        <w:rPr>
          <w:rFonts w:cs="Calibri" w:cstheme="minorHAnsi"/>
          <w:b/>
          <w:color w:val="auto"/>
        </w:rPr>
      </w:pPr>
      <w:r>
        <w:rPr>
          <w:rFonts w:cs="Calibri" w:cstheme="minorHAnsi"/>
          <w:b/>
          <w:color w:val="auto"/>
        </w:rPr>
        <w:t>ZAŁĄCZNIK NR 3</w:t>
      </w:r>
    </w:p>
    <w:p>
      <w:pPr>
        <w:pStyle w:val="Normal"/>
        <w:spacing w:before="0" w:after="0"/>
        <w:jc w:val="center"/>
        <w:rPr>
          <w:rFonts w:cs="Calibri" w:cstheme="minorHAnsi"/>
          <w:b/>
          <w:color w:val="auto"/>
        </w:rPr>
      </w:pPr>
      <w:r>
        <w:rPr>
          <w:rFonts w:cs="Calibri" w:cstheme="minorHAnsi"/>
          <w:b/>
          <w:color w:val="auto"/>
        </w:rPr>
        <w:t>GWARANCJA</w:t>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t>WARUNKI ŚWIADCZENIA GWARANCJI</w:t>
      </w:r>
    </w:p>
    <w:p>
      <w:pPr>
        <w:pStyle w:val="Normal"/>
        <w:spacing w:before="0" w:after="0"/>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Na potrzeby określenia warunków świadczenia Gwarancji ustalają następujące definicje pojęć:</w:t>
      </w:r>
    </w:p>
    <w:p>
      <w:pPr>
        <w:pStyle w:val="Normal"/>
        <w:spacing w:before="0" w:after="0"/>
        <w:ind w:left="720"/>
        <w:rPr>
          <w:rFonts w:cs="Calibri" w:cstheme="minorHAnsi"/>
          <w:b/>
          <w:bCs/>
          <w:color w:val="auto"/>
        </w:rPr>
      </w:pPr>
      <w:r>
        <w:rPr>
          <w:rFonts w:cs="Calibri" w:cstheme="minorHAnsi"/>
          <w:b/>
          <w:bCs/>
          <w:color w:val="auto"/>
        </w:rPr>
      </w:r>
    </w:p>
    <w:tbl>
      <w:tblPr>
        <w:tblW w:w="10035" w:type="dxa"/>
        <w:jc w:val="left"/>
        <w:tblInd w:w="145" w:type="dxa"/>
        <w:tblLayout w:type="fixed"/>
        <w:tblCellMar>
          <w:top w:w="0" w:type="dxa"/>
          <w:left w:w="70" w:type="dxa"/>
          <w:bottom w:w="0" w:type="dxa"/>
          <w:right w:w="70" w:type="dxa"/>
        </w:tblCellMar>
        <w:tblLook w:firstRow="0" w:noVBand="0" w:lastRow="0" w:firstColumn="0" w:lastColumn="0" w:noHBand="0" w:val="0000"/>
      </w:tblPr>
      <w:tblGrid>
        <w:gridCol w:w="2741"/>
        <w:gridCol w:w="450"/>
        <w:gridCol w:w="6844"/>
      </w:tblGrid>
      <w:tr>
        <w:trPr>
          <w:trHeight w:val="1201" w:hRule="atLeast"/>
          <w:cantSplit w:val="true"/>
        </w:trPr>
        <w:tc>
          <w:tcPr>
            <w:tcW w:w="274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spacing w:before="0" w:after="0"/>
              <w:rPr>
                <w:rFonts w:cs="Calibri" w:cstheme="minorHAnsi"/>
                <w:b/>
                <w:color w:val="auto"/>
              </w:rPr>
            </w:pPr>
            <w:r>
              <w:rPr>
                <w:rFonts w:cs="Calibri" w:cstheme="minorHAnsi"/>
                <w:b/>
                <w:color w:val="auto"/>
              </w:rPr>
              <w:t xml:space="preserve">Błąd Zwykły </w:t>
            </w:r>
            <w:r>
              <w:rPr>
                <w:rFonts w:cs="Calibri" w:cstheme="minorHAnsi"/>
                <w:b/>
                <w:bCs/>
                <w:color w:val="auto"/>
              </w:rPr>
              <w:t>Oprogramowania Aplikacyjnego</w:t>
            </w:r>
          </w:p>
        </w:tc>
        <w:tc>
          <w:tcPr>
            <w:tcW w:w="450"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t>-</w:t>
            </w:r>
          </w:p>
        </w:tc>
        <w:tc>
          <w:tcPr>
            <w:tcW w:w="6844"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cs="Calibri" w:cstheme="minorHAnsi"/>
                <w:color w:val="auto"/>
              </w:rPr>
            </w:pPr>
            <w:r>
              <w:rPr>
                <w:rFonts w:cs="Calibri" w:cstheme="minorHAnsi"/>
                <w:color w:val="auto"/>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p>
        </w:tc>
      </w:tr>
      <w:tr>
        <w:trPr>
          <w:trHeight w:val="1631" w:hRule="atLeast"/>
          <w:cantSplit w:val="true"/>
        </w:trPr>
        <w:tc>
          <w:tcPr>
            <w:tcW w:w="274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spacing w:before="0" w:after="0"/>
              <w:rPr>
                <w:rFonts w:cs="Calibri" w:cstheme="minorHAnsi"/>
                <w:b/>
                <w:color w:val="auto"/>
              </w:rPr>
            </w:pPr>
            <w:r>
              <w:rPr>
                <w:rFonts w:cs="Calibri" w:cstheme="minorHAnsi"/>
                <w:b/>
                <w:color w:val="auto"/>
              </w:rPr>
              <w:t xml:space="preserve">Błąd Krytyczny </w:t>
            </w:r>
            <w:r>
              <w:rPr>
                <w:rFonts w:cs="Calibri" w:cstheme="minorHAnsi"/>
                <w:b/>
                <w:bCs/>
                <w:color w:val="auto"/>
              </w:rPr>
              <w:t>Oprogramowania Aplikacyjnego</w:t>
            </w:r>
          </w:p>
          <w:p>
            <w:pPr>
              <w:pStyle w:val="Normal"/>
              <w:tabs>
                <w:tab w:val="clear" w:pos="708"/>
                <w:tab w:val="left" w:pos="1080" w:leader="none"/>
              </w:tabs>
              <w:snapToGrid w:val="false"/>
              <w:spacing w:before="0" w:after="0"/>
              <w:rPr>
                <w:rFonts w:cs="Calibri" w:cstheme="minorHAnsi"/>
                <w:b/>
                <w:color w:val="auto"/>
              </w:rPr>
            </w:pPr>
            <w:r>
              <w:rPr>
                <w:rFonts w:cs="Calibri" w:cstheme="minorHAnsi"/>
                <w:b/>
                <w:color w:val="auto"/>
              </w:rPr>
            </w:r>
          </w:p>
        </w:tc>
        <w:tc>
          <w:tcPr>
            <w:tcW w:w="450"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t>-</w:t>
            </w:r>
          </w:p>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r>
          </w:p>
          <w:p>
            <w:pPr>
              <w:pStyle w:val="Normal"/>
              <w:tabs>
                <w:tab w:val="clear" w:pos="708"/>
                <w:tab w:val="left" w:pos="1080" w:leader="none"/>
              </w:tabs>
              <w:snapToGrid w:val="false"/>
              <w:spacing w:before="0" w:after="0"/>
              <w:jc w:val="center"/>
              <w:rPr>
                <w:rFonts w:cs="Calibri" w:cstheme="minorHAnsi"/>
                <w:color w:val="auto"/>
              </w:rPr>
            </w:pPr>
            <w:r>
              <w:rPr>
                <w:rFonts w:cs="Calibri" w:cstheme="minorHAnsi"/>
                <w:color w:val="auto"/>
              </w:rPr>
            </w:r>
          </w:p>
        </w:tc>
        <w:tc>
          <w:tcPr>
            <w:tcW w:w="6844"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cs="Calibri" w:cstheme="minorHAnsi"/>
                <w:color w:val="auto"/>
              </w:rPr>
            </w:pPr>
            <w:r>
              <w:rPr>
                <w:rFonts w:cs="Calibri" w:cstheme="minorHAnsi"/>
                <w:color w:val="auto"/>
              </w:rPr>
              <w:t>należy przez do rozumieć niezgodne z dokumentacją, powtarzalne działanie Oprogramowania Aplikacyjnego, w którym niemożliwie jest użytkowanie Oprogramowania Aplikacyjnego w zakresie jego Podstawowej Funkcjonalności (t.j. takiej, która dotyczy każdego użytkownika,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trPr>
          <w:trHeight w:val="866" w:hRule="atLeast"/>
          <w:cantSplit w:val="true"/>
        </w:trPr>
        <w:tc>
          <w:tcPr>
            <w:tcW w:w="2741"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rPr>
                <w:rFonts w:cs="Calibri" w:cstheme="minorHAnsi"/>
                <w:b/>
                <w:color w:val="auto"/>
              </w:rPr>
            </w:pPr>
            <w:r>
              <w:rPr>
                <w:rFonts w:cs="Calibri" w:cstheme="minorHAnsi"/>
                <w:b/>
                <w:color w:val="auto"/>
              </w:rPr>
              <w:t>Oprogramowanie Bazodanowe</w:t>
            </w:r>
          </w:p>
        </w:tc>
        <w:tc>
          <w:tcPr>
            <w:tcW w:w="450"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center"/>
              <w:rPr>
                <w:rFonts w:cs="Calibri" w:cstheme="minorHAnsi"/>
                <w:color w:val="auto"/>
              </w:rPr>
            </w:pPr>
            <w:r>
              <w:rPr>
                <w:rFonts w:cs="Calibri" w:cstheme="minorHAnsi"/>
                <w:color w:val="auto"/>
              </w:rPr>
              <w:t>-</w:t>
            </w:r>
          </w:p>
        </w:tc>
        <w:tc>
          <w:tcPr>
            <w:tcW w:w="6844"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rFonts w:cs="Calibri" w:cstheme="minorHAnsi"/>
                <w:color w:val="auto"/>
              </w:rPr>
            </w:pPr>
            <w:r>
              <w:rPr>
                <w:rFonts w:cs="Calibri" w:cstheme="minorHAnsi"/>
                <w:color w:val="auto"/>
              </w:rPr>
              <w:t>należy przez to rozumieć oprogramowanie bazodanowe…………., stanowiące podstawę działania bazy danych Systemu Informatycznego …………………….., z których korzysta Zamawiający;</w:t>
            </w:r>
          </w:p>
        </w:tc>
      </w:tr>
      <w:tr>
        <w:trPr>
          <w:trHeight w:val="1417" w:hRule="atLeast"/>
          <w:cantSplit w:val="true"/>
        </w:trPr>
        <w:tc>
          <w:tcPr>
            <w:tcW w:w="2741"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rPr>
                <w:rFonts w:cs="Calibri" w:cstheme="minorHAnsi"/>
                <w:b/>
                <w:color w:val="auto"/>
              </w:rPr>
            </w:pPr>
            <w:r>
              <w:rPr>
                <w:rFonts w:cs="Calibri" w:cstheme="minorHAnsi"/>
                <w:b/>
                <w:color w:val="auto"/>
              </w:rPr>
              <w:t>System Informatyczny</w:t>
            </w:r>
          </w:p>
        </w:tc>
        <w:tc>
          <w:tcPr>
            <w:tcW w:w="450"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center"/>
              <w:rPr>
                <w:rFonts w:cs="Calibri" w:cstheme="minorHAnsi"/>
                <w:color w:val="auto"/>
              </w:rPr>
            </w:pPr>
            <w:r>
              <w:rPr>
                <w:rFonts w:cs="Calibri" w:cstheme="minorHAnsi"/>
                <w:color w:val="auto"/>
              </w:rPr>
              <w:t>-</w:t>
            </w:r>
          </w:p>
          <w:p>
            <w:pPr>
              <w:pStyle w:val="Normal"/>
              <w:snapToGrid w:val="false"/>
              <w:spacing w:before="0" w:after="0"/>
              <w:jc w:val="center"/>
              <w:rPr>
                <w:rFonts w:cs="Calibri" w:cstheme="minorHAnsi"/>
                <w:color w:val="auto"/>
              </w:rPr>
            </w:pPr>
            <w:r>
              <w:rPr>
                <w:rFonts w:cs="Calibri" w:cstheme="minorHAnsi"/>
                <w:color w:val="auto"/>
              </w:rPr>
            </w:r>
          </w:p>
        </w:tc>
        <w:tc>
          <w:tcPr>
            <w:tcW w:w="6844"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rFonts w:cs="Calibri" w:cstheme="minorHAnsi"/>
                <w:color w:val="auto"/>
              </w:rPr>
            </w:pPr>
            <w:r>
              <w:rPr>
                <w:rFonts w:cs="Calibri" w:cstheme="minorHAnsi"/>
                <w:color w:val="auto"/>
              </w:rPr>
              <w:t>należy przez to rozumieć moduły Oprogramowania Aplikacyjnego, wymienione w Załączniku nr 2 do Umowy, dostarczanego przez ……………., wraz z platformami integracyjnymi, bazami danych (z wyłączeniem serwerów baz danych wraz z jego Oprogramowaniem Bazodanowym) oraz serwerami aplikacji i serwerami www, z którymi współpracuje Oprogramowanie Aplikacyjne;</w:t>
            </w:r>
          </w:p>
        </w:tc>
      </w:tr>
      <w:tr>
        <w:trPr>
          <w:cantSplit w:val="true"/>
        </w:trPr>
        <w:tc>
          <w:tcPr>
            <w:tcW w:w="2741"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rPr>
                <w:rFonts w:cs="Calibri" w:cstheme="minorHAnsi"/>
                <w:b/>
                <w:color w:val="auto"/>
              </w:rPr>
            </w:pPr>
            <w:r>
              <w:rPr>
                <w:rFonts w:cs="Calibri" w:cstheme="minorHAnsi"/>
                <w:b/>
                <w:color w:val="auto"/>
              </w:rPr>
              <w:t>System CHD</w:t>
            </w:r>
          </w:p>
        </w:tc>
        <w:tc>
          <w:tcPr>
            <w:tcW w:w="450"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center"/>
              <w:rPr>
                <w:rFonts w:cs="Calibri" w:cstheme="minorHAnsi"/>
                <w:color w:val="auto"/>
              </w:rPr>
            </w:pPr>
            <w:r>
              <w:rPr>
                <w:rFonts w:cs="Calibri" w:cstheme="minorHAnsi"/>
                <w:color w:val="auto"/>
              </w:rPr>
              <w:t>-</w:t>
            </w:r>
          </w:p>
          <w:p>
            <w:pPr>
              <w:pStyle w:val="Normal"/>
              <w:snapToGrid w:val="false"/>
              <w:spacing w:before="0" w:after="0"/>
              <w:jc w:val="center"/>
              <w:rPr>
                <w:rFonts w:cs="Calibri" w:cstheme="minorHAnsi"/>
                <w:color w:val="auto"/>
              </w:rPr>
            </w:pPr>
            <w:r>
              <w:rPr>
                <w:rFonts w:cs="Calibri" w:cstheme="minorHAnsi"/>
                <w:color w:val="auto"/>
              </w:rPr>
            </w:r>
          </w:p>
        </w:tc>
        <w:tc>
          <w:tcPr>
            <w:tcW w:w="6844"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rFonts w:cs="Calibri" w:cstheme="minorHAnsi"/>
                <w:color w:val="auto"/>
              </w:rPr>
            </w:pPr>
            <w:r>
              <w:rPr>
                <w:rFonts w:cs="Calibri" w:cstheme="minorHAnsi"/>
                <w:color w:val="auto"/>
              </w:rPr>
              <w:t>System typu HelpDesk udostępniany przez ……………. do rejestracji i obsługi zgłoszeń Zamawiającego i Wykonawcy oraz do rejestracji prac serwisowych wykonywanych przez Wykonawcę lub Autoryzowanego Przedstawiciela Serwisowego Wykonawcy, dostępny pod adresem: ……………..;</w:t>
            </w:r>
          </w:p>
        </w:tc>
      </w:tr>
    </w:tbl>
    <w:p>
      <w:pPr>
        <w:pStyle w:val="NormalWeb"/>
        <w:shd w:val="clear" w:color="auto" w:fill="FFFFFF"/>
        <w:spacing w:lineRule="auto" w:line="276" w:beforeAutospacing="0" w:before="0" w:afterAutospacing="0" w:after="0"/>
        <w:ind w:hanging="426" w:left="426"/>
        <w:jc w:val="both"/>
        <w:rPr>
          <w:rStyle w:val="Strong"/>
          <w:rFonts w:ascii="Calibri" w:hAnsi="Calibri" w:cs="Calibri" w:asciiTheme="minorHAnsi" w:cstheme="minorHAnsi" w:hAnsiTheme="minorHAnsi"/>
          <w:b w:val="false"/>
          <w:bCs w:val="false"/>
          <w:color w:val="auto"/>
          <w:sz w:val="22"/>
          <w:szCs w:val="22"/>
        </w:rPr>
      </w:pPr>
      <w:r>
        <w:rPr>
          <w:rFonts w:cs="Calibri" w:cstheme="minorHAnsi" w:ascii="Calibri" w:hAnsi="Calibri"/>
          <w:b w:val="false"/>
          <w:bCs w:val="false"/>
          <w:color w:val="auto"/>
          <w:sz w:val="22"/>
          <w:szCs w:val="22"/>
        </w:rPr>
      </w:r>
    </w:p>
    <w:p>
      <w:pPr>
        <w:pStyle w:val="NormalWeb"/>
        <w:shd w:val="clear" w:color="auto" w:fill="FFFFFF"/>
        <w:spacing w:lineRule="auto" w:line="276" w:beforeAutospacing="0" w:before="0" w:afterAutospacing="0" w:after="0"/>
        <w:ind w:hanging="426" w:lef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lef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lef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Web"/>
        <w:shd w:val="clear" w:color="auto" w:fill="FFFFFF"/>
        <w:spacing w:lineRule="auto" w:line="276" w:beforeAutospacing="0" w:before="0" w:afterAutospacing="0" w:after="0"/>
        <w:ind w:hanging="426" w:left="426"/>
        <w:jc w:val="center"/>
        <w:rPr>
          <w:rStyle w:val="Strong"/>
          <w:rFonts w:ascii="Calibri" w:hAnsi="Calibri" w:cs="Calibri" w:asciiTheme="minorHAnsi" w:cstheme="minorHAnsi" w:hAnsiTheme="minorHAnsi"/>
          <w:color w:val="auto"/>
          <w:sz w:val="22"/>
          <w:szCs w:val="22"/>
        </w:rPr>
      </w:pPr>
      <w:r>
        <w:rPr>
          <w:rStyle w:val="Strong"/>
          <w:rFonts w:cs="Calibri" w:ascii="Calibri" w:hAnsi="Calibri" w:asciiTheme="minorHAnsi" w:cstheme="minorHAnsi" w:hAnsiTheme="minorHAnsi"/>
          <w:color w:val="auto"/>
          <w:sz w:val="22"/>
          <w:szCs w:val="22"/>
        </w:rPr>
        <w:t>ZOBOWIĄZANIA WYKONAWCY</w:t>
      </w:r>
    </w:p>
    <w:p>
      <w:pPr>
        <w:pStyle w:val="NormalWeb"/>
        <w:shd w:val="clear" w:color="auto" w:fill="FFFFFF"/>
        <w:spacing w:lineRule="auto" w:line="276" w:beforeAutospacing="0" w:before="0" w:afterAutospacing="0" w:after="0"/>
        <w:ind w:hanging="426" w:left="426"/>
        <w:jc w:val="center"/>
        <w:rPr>
          <w:rStyle w:val="Strong"/>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ormal"/>
        <w:numPr>
          <w:ilvl w:val="0"/>
          <w:numId w:val="28"/>
        </w:numPr>
        <w:spacing w:before="0" w:after="0"/>
        <w:jc w:val="both"/>
        <w:rPr>
          <w:rFonts w:cs="" w:cstheme="minorBidi"/>
          <w:color w:val="auto"/>
        </w:rPr>
      </w:pPr>
      <w:r>
        <w:rPr>
          <w:rFonts w:cs="" w:cstheme="minorBidi"/>
          <w:color w:val="auto"/>
        </w:rPr>
        <w:t xml:space="preserve">W ramach Gwarancji, o której mowa w §2 ust. 2 Umowy Wykonawca zapewnia </w:t>
      </w:r>
      <w:r>
        <w:rPr>
          <w:rFonts w:eastAsia="Calibri" w:cs="Calibri"/>
          <w:color w:val="auto"/>
        </w:rPr>
        <w:t>prawidłowe funkcjonowania Oprogramowania Aplikacyjnego w przypadku: zmian przepisów prawnych, zmian struktury organizacyjnej, zmian infrastruktury informatycznej oraz rozwiązywanie sytuacji awaryjnych poprzez wykonywanie na podstawie zleceń Zamawiającego czynności niezbędnych do zapewnienia prawidłowego działania Oprogramowania Aplikacyjnego – tj.</w:t>
      </w:r>
      <w:r>
        <w:rPr>
          <w:rFonts w:cs="" w:cstheme="minorBidi"/>
          <w:color w:val="auto"/>
        </w:rPr>
        <w:t>:</w:t>
      </w:r>
    </w:p>
    <w:p>
      <w:pPr>
        <w:pStyle w:val="Normal"/>
        <w:widowControl w:val="false"/>
        <w:numPr>
          <w:ilvl w:val="1"/>
          <w:numId w:val="26"/>
        </w:numPr>
        <w:spacing w:before="0" w:after="0"/>
        <w:jc w:val="both"/>
        <w:rPr>
          <w:rFonts w:cs="Calibri" w:cstheme="minorHAnsi"/>
          <w:color w:val="auto"/>
        </w:rPr>
      </w:pPr>
      <w:r>
        <w:rPr>
          <w:rFonts w:cs="Calibri" w:cstheme="minorHAnsi"/>
          <w:color w:val="auto"/>
        </w:rPr>
        <w:t xml:space="preserve">udostępnienie poprawek do Oprogramowania Aplikacyjnego, w przypadku stwierdzenia przez Zamawiającego błędu Oprogramowania Aplikacyjnego: </w:t>
      </w:r>
    </w:p>
    <w:p>
      <w:pPr>
        <w:pStyle w:val="Normal"/>
        <w:widowControl w:val="false"/>
        <w:numPr>
          <w:ilvl w:val="2"/>
          <w:numId w:val="26"/>
        </w:numPr>
        <w:spacing w:before="0" w:after="0"/>
        <w:jc w:val="both"/>
        <w:rPr>
          <w:rFonts w:cs="Calibri" w:cstheme="minorHAnsi"/>
          <w:color w:val="auto"/>
        </w:rPr>
      </w:pPr>
      <w:bookmarkStart w:id="15" w:name="_Ref154200442"/>
      <w:r>
        <w:rPr>
          <w:rFonts w:cs="Calibri" w:cstheme="minorHAnsi"/>
          <w:color w:val="auto"/>
        </w:rPr>
        <w:t>w przypadku Błędu Krytycznego Oprogramowania Aplikacyjnego:</w:t>
      </w:r>
      <w:bookmarkEnd w:id="15"/>
    </w:p>
    <w:p>
      <w:pPr>
        <w:pStyle w:val="Normal"/>
        <w:widowControl w:val="false"/>
        <w:numPr>
          <w:ilvl w:val="3"/>
          <w:numId w:val="26"/>
        </w:numPr>
        <w:spacing w:before="0" w:after="0"/>
        <w:jc w:val="both"/>
        <w:rPr>
          <w:rFonts w:cs="" w:cstheme="minorBidi"/>
          <w:color w:val="auto"/>
        </w:rPr>
      </w:pPr>
      <w:r>
        <w:rPr>
          <w:rFonts w:cs="" w:cstheme="minorBidi"/>
          <w:color w:val="auto"/>
        </w:rPr>
        <w:t>czas reakcji Wykonawcy na zgłoszenie Zamawiającego (tj. czas od otrzymania zgłoszenia do chwili podjęcia przez Wykonawcę czynności zmierzających do naprawy zgłoszonego Błędu Krytycznego Oprogramowania Aplikacyjnego) wynosi 1 Dzień Roboczy;</w:t>
      </w:r>
    </w:p>
    <w:p>
      <w:pPr>
        <w:pStyle w:val="Normal"/>
        <w:widowControl w:val="false"/>
        <w:numPr>
          <w:ilvl w:val="3"/>
          <w:numId w:val="26"/>
        </w:numPr>
        <w:spacing w:before="0" w:after="0"/>
        <w:jc w:val="both"/>
        <w:rPr>
          <w:rFonts w:cs="Calibri" w:cstheme="minorHAnsi"/>
          <w:color w:val="auto"/>
        </w:rPr>
      </w:pPr>
      <w:r>
        <w:rPr>
          <w:rFonts w:cs="Calibri" w:cstheme="minorHAnsi"/>
          <w:color w:val="auto"/>
        </w:rPr>
        <w:t xml:space="preserve">czas udostępnienia Zamawiającemu odpowiednich poprawek Oprogramowania Aplikacyjnego wyniesie do 3 Dni Roboczych od chwili rozpoczęcia czynności serwisowych; </w:t>
      </w:r>
    </w:p>
    <w:p>
      <w:pPr>
        <w:pStyle w:val="Normal"/>
        <w:widowControl w:val="false"/>
        <w:numPr>
          <w:ilvl w:val="3"/>
          <w:numId w:val="26"/>
        </w:numPr>
        <w:spacing w:before="0" w:after="0"/>
        <w:jc w:val="both"/>
        <w:rPr>
          <w:rFonts w:cs="Calibri" w:cstheme="minorHAnsi"/>
          <w:color w:val="auto"/>
        </w:rPr>
      </w:pPr>
      <w:r>
        <w:rPr>
          <w:rFonts w:cs="Calibri" w:cstheme="minorHAnsi"/>
          <w:color w:val="auto"/>
        </w:rPr>
        <w:t xml:space="preserve">w przypadku wystąpienia Błędu Krytycznego Oprogramowania Aplikacyjnego Wykonawca może wprowadzić tzw. rozwiązanie tymczasowe, doraźnie rozwiązujące problem Błędu Krytycznego Oprogramowania Aplikacyjnego; </w:t>
      </w:r>
      <w:bookmarkStart w:id="16" w:name="_Hlk189576863"/>
      <w:r>
        <w:rPr>
          <w:rFonts w:cs="Calibri" w:cstheme="minorHAnsi"/>
          <w:color w:val="auto"/>
        </w:rPr>
        <w:t>w takim przypadku dalsza obsługa usunięcia dotychczasowego Błędu Krytycznego</w:t>
      </w:r>
      <w:bookmarkEnd w:id="16"/>
      <w:r>
        <w:rPr>
          <w:rFonts w:cs="Calibri" w:cstheme="minorHAnsi"/>
          <w:color w:val="auto"/>
        </w:rPr>
        <w:t xml:space="preserve"> Oprogramowania Aplikacyjnego będzie traktowana jako Błąd Zwykły Oprogramowania Aplikacyjnego; </w:t>
      </w:r>
    </w:p>
    <w:p>
      <w:pPr>
        <w:pStyle w:val="Normal"/>
        <w:widowControl w:val="false"/>
        <w:numPr>
          <w:ilvl w:val="2"/>
          <w:numId w:val="26"/>
        </w:numPr>
        <w:spacing w:before="0" w:after="0"/>
        <w:jc w:val="both"/>
        <w:rPr>
          <w:rFonts w:cs="Calibri" w:cstheme="minorHAnsi"/>
          <w:color w:val="auto"/>
        </w:rPr>
      </w:pPr>
      <w:r>
        <w:rPr>
          <w:rFonts w:cs="Calibri" w:cstheme="minorHAnsi"/>
          <w:color w:val="auto"/>
        </w:rPr>
        <w:t xml:space="preserve">w pozostałych przypadkach, określanych jako Błędy Zwykłe Oprogramowania Aplikacyjnego: </w:t>
      </w:r>
    </w:p>
    <w:p>
      <w:pPr>
        <w:pStyle w:val="Normal"/>
        <w:widowControl w:val="false"/>
        <w:numPr>
          <w:ilvl w:val="3"/>
          <w:numId w:val="26"/>
        </w:numPr>
        <w:spacing w:before="0" w:after="0"/>
        <w:jc w:val="both"/>
        <w:rPr>
          <w:rFonts w:cs="Calibri" w:cstheme="minorHAnsi"/>
          <w:color w:val="auto"/>
        </w:rPr>
      </w:pPr>
      <w:r>
        <w:rPr>
          <w:rFonts w:cs="Calibri" w:cstheme="minorHAnsi"/>
          <w:color w:val="auto"/>
        </w:rPr>
        <w:t>czas reakcji Wykonawcy na zgłoszenie Zamawiającego (tj. czas od otrzymania zgłoszenia do chwili podjęcia przez Wykonawcę czynności zmierzających do naprawy zgłoszonego Błędu Zwykłego Oprogramowania Aplikacyjnego) wynosi do 15 Dni Roboczych;</w:t>
      </w:r>
    </w:p>
    <w:p>
      <w:pPr>
        <w:pStyle w:val="Normal"/>
        <w:widowControl w:val="false"/>
        <w:numPr>
          <w:ilvl w:val="3"/>
          <w:numId w:val="26"/>
        </w:numPr>
        <w:spacing w:before="0" w:after="0"/>
        <w:jc w:val="both"/>
        <w:rPr>
          <w:rFonts w:cs="Calibri" w:cstheme="minorHAnsi"/>
          <w:color w:val="auto"/>
        </w:rPr>
      </w:pPr>
      <w:r>
        <w:rPr>
          <w:rFonts w:cs="Calibri" w:cstheme="minorHAnsi"/>
          <w:color w:val="auto"/>
        </w:rPr>
        <w:t>czas udostępnienia Zamawiającemu odpowiednich poprawek Oprogramowania Aplikacyjnego wyniesie do 60 Dni Roboczych od chwili rozpoczęcia czynności serwisowych;</w:t>
      </w:r>
    </w:p>
    <w:p>
      <w:pPr>
        <w:pStyle w:val="Normal"/>
        <w:widowControl w:val="false"/>
        <w:numPr>
          <w:ilvl w:val="2"/>
          <w:numId w:val="26"/>
        </w:numPr>
        <w:spacing w:before="0" w:after="0"/>
        <w:jc w:val="both"/>
        <w:rPr>
          <w:rFonts w:cs="Calibri" w:cstheme="minorHAnsi"/>
          <w:color w:val="auto"/>
        </w:rPr>
      </w:pPr>
      <w:r>
        <w:rPr>
          <w:rFonts w:cs="Calibri" w:cstheme="minorHAnsi"/>
          <w:color w:val="auto"/>
        </w:rPr>
        <w:t>Wykonawca wymaga udostępnienia przez Zamawiającego zdalnego dostępu do baz danych i Oprogramowania Aplikacyjnego dla osób wykonujących prace na rzecz realizacji przez Wykonawcę Umowy. Zasady zdalnego dostępu określa Dodatek nr 1 do niniejszego Załącznika;</w:t>
      </w:r>
    </w:p>
    <w:p>
      <w:pPr>
        <w:pStyle w:val="Normal"/>
        <w:widowControl w:val="false"/>
        <w:numPr>
          <w:ilvl w:val="2"/>
          <w:numId w:val="26"/>
        </w:numPr>
        <w:spacing w:before="0" w:after="0"/>
        <w:jc w:val="both"/>
        <w:rPr>
          <w:rFonts w:cs="Calibri" w:cstheme="minorHAnsi"/>
          <w:color w:val="auto"/>
        </w:rPr>
      </w:pPr>
      <w:r>
        <w:rPr>
          <w:rFonts w:cs="Calibri" w:cstheme="minorHAnsi"/>
          <w:color w:val="auto"/>
        </w:rPr>
        <w:t>w przypadku braku możliwości udostępnienia zdalnego dostępu, czas reakcji oraz czas udostępnienia poprawek zawierających korektę zgłoszonego błędu ulega wydłużeniu o czas oczekiwania na udostępnienie przez Zamawiającego, w sposób określony w „Zobowiązaniach Zamawiającego” w ust. I pkt. 6 kopii bazy danych i czas niezbędny na jej uruchomienie w siedzibie Wykonawcy;</w:t>
      </w:r>
    </w:p>
    <w:p>
      <w:pPr>
        <w:pStyle w:val="Normal"/>
        <w:widowControl w:val="false"/>
        <w:numPr>
          <w:ilvl w:val="2"/>
          <w:numId w:val="26"/>
        </w:numPr>
        <w:spacing w:before="0" w:after="0"/>
        <w:jc w:val="both"/>
        <w:rPr>
          <w:rFonts w:cs="Calibri" w:cstheme="minorHAnsi"/>
          <w:color w:val="auto"/>
        </w:rPr>
      </w:pPr>
      <w:r>
        <w:rPr>
          <w:rFonts w:cs="Calibri" w:cstheme="minorHAnsi"/>
          <w:color w:val="auto"/>
        </w:rPr>
        <w:t xml:space="preserve">czas reakcji i czas udostępnienia Zamawiającemu odpowiednich poprawek Oprogramowania Aplikacyjnego ulega zawieszeniu na okres oczekiwania na przedstawienie przez Zamawiającego uzupełniających informacji, niezbędnych do usunięcia błędu, liczony od momentu wystąpienia z zapytaniem przez Wykonawcę lub zapytaniem o dodatkowe informacje przekazanym przez System CHD, do momentu udzielenia odpowiedzi w Systemie CHD, z zastrzeżeniem, że zgłoszenie może zostać zamknięte w przypadku braku odpowiedzi Zamawiającego na dwukrotne przypomnienie wysłane przez Wykonawcę w Systemie CHD. </w:t>
      </w:r>
      <w:bookmarkStart w:id="17" w:name="_Hlk192495986"/>
      <w:r>
        <w:rPr>
          <w:rFonts w:cs="Calibri" w:cstheme="minorHAnsi"/>
          <w:color w:val="auto"/>
        </w:rPr>
        <w:t>Jeżeli uzupełnienie nie zostanie udzielone w danym Dniu Roboczym czas udostępnienia Zamawiającemu odpowiednich poprawek zostanie wydłużony o jeden Dzień Roboczy</w:t>
      </w:r>
      <w:bookmarkEnd w:id="17"/>
      <w:r>
        <w:rPr>
          <w:rFonts w:cs="Calibri" w:cstheme="minorHAnsi"/>
          <w:color w:val="auto"/>
        </w:rPr>
        <w:t>. Dodatkowo czas udostępnienia zostanie wydłużony o sumaryczny czas zawieszenia zaokrąglony arytmetycznie do pełnych Dni Roboczych w górę.</w:t>
      </w:r>
    </w:p>
    <w:p>
      <w:pPr>
        <w:pStyle w:val="Normal"/>
        <w:widowControl w:val="false"/>
        <w:numPr>
          <w:ilvl w:val="2"/>
          <w:numId w:val="26"/>
        </w:numPr>
        <w:spacing w:before="0" w:after="0"/>
        <w:jc w:val="both"/>
        <w:rPr>
          <w:rFonts w:cs="Calibri" w:cstheme="minorHAnsi"/>
          <w:color w:val="auto"/>
        </w:rPr>
      </w:pPr>
      <w:r>
        <w:rPr>
          <w:rFonts w:cs="Calibri" w:cstheme="minorHAnsi"/>
          <w:color w:val="auto"/>
        </w:rPr>
        <w:t xml:space="preserve">w wyjątkowych przypadkach, za zgodą Zamawiającego, czas dokonania poprawek Oprogramowania Aplikacyjnego będzie uzgodniony pomiędzy Wykonawcą i Zamawiającym; </w:t>
      </w:r>
    </w:p>
    <w:p>
      <w:pPr>
        <w:pStyle w:val="Normal"/>
        <w:widowControl w:val="false"/>
        <w:numPr>
          <w:ilvl w:val="2"/>
          <w:numId w:val="26"/>
        </w:numPr>
        <w:spacing w:before="0" w:after="0"/>
        <w:jc w:val="both"/>
        <w:rPr>
          <w:rFonts w:cs="Calibri" w:cstheme="minorHAnsi"/>
          <w:color w:val="auto"/>
        </w:rPr>
      </w:pPr>
      <w:r>
        <w:rPr>
          <w:rFonts w:cs="Calibri" w:cstheme="minorHAnsi"/>
          <w:color w:val="auto"/>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 W takim przypadku zgłoszenia telefonicznego można dokonać pod numerem telefonu:</w:t>
      </w:r>
    </w:p>
    <w:p>
      <w:pPr>
        <w:pStyle w:val="Normal"/>
        <w:widowControl w:val="false"/>
        <w:numPr>
          <w:ilvl w:val="3"/>
          <w:numId w:val="26"/>
        </w:numPr>
        <w:spacing w:before="0" w:after="0"/>
        <w:jc w:val="both"/>
        <w:rPr>
          <w:rFonts w:cs="Calibri" w:cstheme="minorHAnsi"/>
          <w:color w:val="auto"/>
        </w:rPr>
      </w:pPr>
      <w:r>
        <w:rPr>
          <w:rFonts w:cs="Calibri" w:cstheme="minorHAnsi"/>
          <w:b/>
          <w:bCs/>
          <w:color w:val="auto"/>
        </w:rPr>
        <w:t>…………</w:t>
      </w:r>
      <w:r>
        <w:rPr>
          <w:rFonts w:cs="Calibri" w:cstheme="minorHAnsi"/>
          <w:b/>
          <w:bCs/>
          <w:color w:val="auto"/>
        </w:rPr>
        <w:t>.</w:t>
      </w:r>
      <w:r>
        <w:rPr>
          <w:rFonts w:cs="Calibri" w:cstheme="minorHAnsi"/>
          <w:color w:val="auto"/>
        </w:rPr>
        <w:t xml:space="preserve"> dla połączeń z telefonów stacjonarnych;</w:t>
      </w:r>
    </w:p>
    <w:p>
      <w:pPr>
        <w:pStyle w:val="Normal"/>
        <w:widowControl w:val="false"/>
        <w:numPr>
          <w:ilvl w:val="3"/>
          <w:numId w:val="26"/>
        </w:numPr>
        <w:spacing w:before="0" w:after="0"/>
        <w:jc w:val="both"/>
        <w:rPr>
          <w:rFonts w:cs="Calibri" w:cstheme="minorHAnsi"/>
          <w:color w:val="auto"/>
        </w:rPr>
      </w:pPr>
      <w:r>
        <w:rPr>
          <w:rFonts w:cs="Calibri" w:cstheme="minorHAnsi"/>
          <w:b/>
          <w:bCs/>
          <w:color w:val="auto"/>
        </w:rPr>
        <w:t>…………</w:t>
      </w:r>
      <w:r>
        <w:rPr>
          <w:rFonts w:cs="Calibri" w:cstheme="minorHAnsi"/>
          <w:b/>
          <w:bCs/>
          <w:color w:val="auto"/>
        </w:rPr>
        <w:t>.</w:t>
      </w:r>
      <w:r>
        <w:rPr>
          <w:rFonts w:cs="Calibri" w:cstheme="minorHAnsi"/>
          <w:color w:val="auto"/>
        </w:rPr>
        <w:t xml:space="preserve"> dla połączeń z telefonów komórkowych</w:t>
      </w:r>
    </w:p>
    <w:p>
      <w:pPr>
        <w:pStyle w:val="Normal"/>
        <w:widowControl w:val="false"/>
        <w:spacing w:before="0" w:after="0"/>
        <w:ind w:left="1080"/>
        <w:jc w:val="both"/>
        <w:rPr>
          <w:rFonts w:cs="Calibri" w:cstheme="minorHAnsi"/>
          <w:color w:val="auto"/>
        </w:rPr>
      </w:pPr>
      <w:r>
        <w:rPr>
          <w:rFonts w:cs="Calibri" w:cstheme="minorHAnsi"/>
          <w:color w:val="auto"/>
        </w:rPr>
        <w:t>lub za pomocą poczty elektronicznej na adres e-mail: ………………….</w:t>
      </w:r>
      <w:hyperlink r:id="rId2">
        <w:r>
          <w:rPr>
            <w:rStyle w:val="Hyperlink"/>
          </w:rPr>
          <w:t>mailto:</w:t>
        </w:r>
      </w:hyperlink>
      <w:r>
        <w:rPr>
          <w:rFonts w:cs="Calibri" w:cstheme="minorHAnsi"/>
          <w:color w:val="auto"/>
        </w:rPr>
        <w:t>;</w:t>
      </w:r>
    </w:p>
    <w:p>
      <w:pPr>
        <w:pStyle w:val="Normal"/>
        <w:widowControl w:val="false"/>
        <w:numPr>
          <w:ilvl w:val="2"/>
          <w:numId w:val="26"/>
        </w:numPr>
        <w:spacing w:before="0" w:after="0"/>
        <w:jc w:val="both"/>
        <w:rPr>
          <w:rFonts w:cs="Calibri" w:cstheme="minorHAnsi"/>
          <w:color w:val="auto"/>
        </w:rPr>
      </w:pPr>
      <w:r>
        <w:rPr>
          <w:rFonts w:cs="Calibri" w:cstheme="minorHAnsi"/>
          <w:color w:val="auto"/>
        </w:rPr>
        <w:t>w przypadku, gdy zgłoszenie błędu zostanie przyjęte przez Wykonawcę:</w:t>
      </w:r>
    </w:p>
    <w:p>
      <w:pPr>
        <w:pStyle w:val="Normal"/>
        <w:widowControl w:val="false"/>
        <w:numPr>
          <w:ilvl w:val="4"/>
          <w:numId w:val="27"/>
        </w:numPr>
        <w:spacing w:before="0" w:after="0"/>
        <w:jc w:val="both"/>
        <w:rPr>
          <w:rFonts w:cs="Calibri" w:cstheme="minorHAnsi"/>
          <w:color w:val="auto"/>
        </w:rPr>
      </w:pPr>
      <w:r>
        <w:rPr>
          <w:rFonts w:cs="Calibri" w:cstheme="minorHAnsi"/>
          <w:color w:val="auto"/>
        </w:rPr>
        <w:t>w godzinach pomiędzy 08:00 a 16.00 Dnia Roboczego – traktowane jest jak przyjęte danego Dnia roboczego;</w:t>
      </w:r>
    </w:p>
    <w:p>
      <w:pPr>
        <w:pStyle w:val="Normal"/>
        <w:widowControl w:val="false"/>
        <w:numPr>
          <w:ilvl w:val="4"/>
          <w:numId w:val="27"/>
        </w:numPr>
        <w:spacing w:before="0" w:after="0"/>
        <w:jc w:val="both"/>
        <w:rPr>
          <w:rFonts w:cs="Calibri" w:cstheme="minorHAnsi"/>
          <w:color w:val="auto"/>
        </w:rPr>
      </w:pPr>
      <w:r>
        <w:rPr>
          <w:rFonts w:cs="Calibri" w:cstheme="minorHAnsi"/>
          <w:color w:val="auto"/>
        </w:rPr>
        <w:t>w godzinach pomiędzy 16.00 a 24.00 Dnia Roboczego – traktowane jest jak przyjęte o godz. 8.00 następnego Dnia Roboczego;</w:t>
      </w:r>
    </w:p>
    <w:p>
      <w:pPr>
        <w:pStyle w:val="Normal"/>
        <w:widowControl w:val="false"/>
        <w:numPr>
          <w:ilvl w:val="4"/>
          <w:numId w:val="27"/>
        </w:numPr>
        <w:spacing w:before="0" w:after="0"/>
        <w:jc w:val="both"/>
        <w:rPr>
          <w:rFonts w:cs="Calibri" w:cstheme="minorHAnsi"/>
          <w:color w:val="auto"/>
        </w:rPr>
      </w:pPr>
      <w:r>
        <w:rPr>
          <w:rFonts w:cs="Calibri" w:cstheme="minorHAnsi"/>
          <w:color w:val="auto"/>
        </w:rPr>
        <w:t>w godzinach pomiędzy 0.00 a 8.00 Dnia Roboczego - traktowane jest jak przyjęte o godz. 8.00 danego Dnia Roboczego;</w:t>
      </w:r>
    </w:p>
    <w:p>
      <w:pPr>
        <w:pStyle w:val="Normal"/>
        <w:widowControl w:val="false"/>
        <w:numPr>
          <w:ilvl w:val="4"/>
          <w:numId w:val="27"/>
        </w:numPr>
        <w:spacing w:before="0" w:after="0"/>
        <w:jc w:val="both"/>
        <w:rPr>
          <w:rFonts w:cs="Calibri" w:cstheme="minorHAnsi"/>
          <w:color w:val="auto"/>
        </w:rPr>
      </w:pPr>
      <w:r>
        <w:rPr>
          <w:rFonts w:cs="Calibri" w:cstheme="minorHAnsi"/>
          <w:color w:val="auto"/>
        </w:rPr>
        <w:t xml:space="preserve">w dniu ustawowo lub dodatkowo wolnym od pracy - traktowane jest jak przyjęte o godz. 8.00 najbliższego Dnia Roboczego; </w:t>
      </w:r>
    </w:p>
    <w:p>
      <w:pPr>
        <w:pStyle w:val="Normal"/>
        <w:numPr>
          <w:ilvl w:val="1"/>
          <w:numId w:val="26"/>
        </w:numPr>
        <w:spacing w:before="0" w:after="0"/>
        <w:jc w:val="both"/>
        <w:rPr>
          <w:rFonts w:cs="Calibri" w:cstheme="minorHAnsi"/>
          <w:color w:val="auto"/>
        </w:rPr>
      </w:pPr>
      <w:r>
        <w:rPr>
          <w:rFonts w:cs="Calibri" w:cstheme="minorHAnsi"/>
          <w:color w:val="auto"/>
        </w:rPr>
        <w:t>przyjmowanie i obsługę zgłoszeń podatności bezpieczeństwa Oprogramowania Aplikacyjnego w zakresie i na zasadach opisanych w Dodatku nr 3 do Załącznika nr 3 do Umowy;</w:t>
      </w:r>
    </w:p>
    <w:p>
      <w:pPr>
        <w:pStyle w:val="Normal"/>
        <w:numPr>
          <w:ilvl w:val="1"/>
          <w:numId w:val="26"/>
        </w:numPr>
        <w:spacing w:before="0" w:after="0"/>
        <w:jc w:val="both"/>
        <w:rPr>
          <w:rFonts w:cs="Calibri" w:cstheme="minorHAnsi"/>
          <w:color w:val="auto"/>
        </w:rPr>
      </w:pPr>
      <w:r>
        <w:rPr>
          <w:rFonts w:cs="Calibri" w:cstheme="minorHAnsi"/>
          <w:color w:val="auto"/>
        </w:rPr>
        <w:t>wprowadzanie zmian w Oprogramowaniu Aplikacyjnym, w zakresie dotyczącym istniejącej funkcjonalności Oprogramowania Aplikacyjnego objętego Umową, w zakresie wymaganym zmianami powszechnie obowiązujących przepisów prawa lub przepisów prawa wewnętrznie obowiązujących Zamawiającego, wydanych na podstawie delegacji ustawowej, z zastrzeżeniem, że Wykonawca zobowiązany jest do:</w:t>
      </w:r>
    </w:p>
    <w:p>
      <w:pPr>
        <w:pStyle w:val="Normal"/>
        <w:numPr>
          <w:ilvl w:val="2"/>
          <w:numId w:val="26"/>
        </w:numPr>
        <w:spacing w:before="0" w:after="0"/>
        <w:jc w:val="both"/>
        <w:rPr>
          <w:rFonts w:cs="Calibri" w:cstheme="minorHAnsi"/>
          <w:color w:val="auto"/>
          <w:u w:val="single"/>
        </w:rPr>
      </w:pPr>
      <w:r>
        <w:rPr>
          <w:rFonts w:cs="Calibri" w:cstheme="minorHAnsi"/>
          <w:color w:val="auto"/>
        </w:rPr>
        <w:t>przekazania Zamawiającemu informacji o nowych wersjach Oprogramowania Aplikacyjnego, co odbywać się będzie poprzez opublikowanie odpowiedniego komunikatu w Systemie CHD;</w:t>
      </w:r>
    </w:p>
    <w:p>
      <w:pPr>
        <w:pStyle w:val="Normal"/>
        <w:numPr>
          <w:ilvl w:val="2"/>
          <w:numId w:val="26"/>
        </w:numPr>
        <w:spacing w:before="0" w:after="0"/>
        <w:jc w:val="both"/>
        <w:rPr>
          <w:rFonts w:cs="" w:cstheme="minorBidi"/>
          <w:color w:val="auto"/>
        </w:rPr>
      </w:pPr>
      <w:r>
        <w:rPr>
          <w:rFonts w:cs="" w:cstheme="minorBidi"/>
          <w:color w:val="auto"/>
        </w:rPr>
        <w:t xml:space="preserve">udostępniania uaktualnień Oprogramowania Aplikacyjnego (nowych wersji Oprogramowania Aplikacyjnego) w Systemie CHD lub na serwerze ftp: </w:t>
      </w:r>
      <w:r>
        <w:rPr>
          <w:rFonts w:cs="" w:cstheme="minorBidi"/>
          <w:color w:val="auto"/>
          <w:u w:val="single"/>
        </w:rPr>
        <w:t>…………………………………..</w:t>
      </w:r>
      <w:r>
        <w:rPr>
          <w:rFonts w:cs="" w:cstheme="minorBidi"/>
          <w:color w:val="auto"/>
        </w:rPr>
        <w:t>;</w:t>
      </w:r>
    </w:p>
    <w:p>
      <w:pPr>
        <w:pStyle w:val="ListParagraph"/>
        <w:numPr>
          <w:ilvl w:val="1"/>
          <w:numId w:val="26"/>
        </w:numPr>
        <w:spacing w:before="0" w:after="0"/>
        <w:contextualSpacing/>
        <w:jc w:val="both"/>
        <w:rPr>
          <w:rFonts w:cs="" w:cstheme="minorBidi"/>
          <w:color w:val="auto"/>
        </w:rPr>
      </w:pPr>
      <w:r>
        <w:rPr>
          <w:rFonts w:cs="" w:cstheme="minorBidi"/>
          <w:color w:val="auto"/>
        </w:rPr>
        <w:t>Instalacje aktualizacji Oprogramowania Aplikacyjnego otrzymanych w ramach Gwarancji;</w:t>
      </w:r>
    </w:p>
    <w:p>
      <w:pPr>
        <w:pStyle w:val="ListParagraph"/>
        <w:numPr>
          <w:ilvl w:val="1"/>
          <w:numId w:val="26"/>
        </w:numPr>
        <w:tabs>
          <w:tab w:val="clear" w:pos="708"/>
          <w:tab w:val="left" w:pos="567" w:leader="none"/>
        </w:tabs>
        <w:spacing w:before="0" w:after="0"/>
        <w:contextualSpacing/>
        <w:jc w:val="both"/>
        <w:rPr>
          <w:rFonts w:cs="" w:cstheme="minorBidi"/>
          <w:color w:val="auto"/>
        </w:rPr>
      </w:pPr>
      <w:r>
        <w:rPr>
          <w:rFonts w:cs="" w:cstheme="minorBidi"/>
          <w:color w:val="auto"/>
        </w:rPr>
        <w:t>pomoc Zamawiającemu w diagnostyce błędu Oprogramowania Aplikacyjnego objętego Umową;</w:t>
      </w:r>
    </w:p>
    <w:p>
      <w:pPr>
        <w:pStyle w:val="ListParagraph"/>
        <w:numPr>
          <w:ilvl w:val="1"/>
          <w:numId w:val="26"/>
        </w:numPr>
        <w:tabs>
          <w:tab w:val="clear" w:pos="708"/>
          <w:tab w:val="left" w:pos="567" w:leader="none"/>
        </w:tabs>
        <w:spacing w:before="0" w:after="0"/>
        <w:contextualSpacing/>
        <w:jc w:val="both"/>
        <w:rPr>
          <w:rFonts w:cs="" w:cstheme="minorBidi"/>
          <w:color w:val="auto"/>
        </w:rPr>
      </w:pPr>
      <w:r>
        <w:rPr>
          <w:rFonts w:cs="" w:cstheme="minorBidi"/>
          <w:color w:val="auto"/>
        </w:rPr>
        <w:t>podjęcie starań i pomoc Zamawiającemu w celu usunięcia Awarii Oprogramowania Aplikacyjnego powstałej z przyczyn leżących po stronie Zamawiającego lub jego infrastruktury sprzętowo-systemowej lub wskutek wypadków losowych;</w:t>
      </w:r>
    </w:p>
    <w:p>
      <w:pPr>
        <w:pStyle w:val="ListParagraph"/>
        <w:numPr>
          <w:ilvl w:val="1"/>
          <w:numId w:val="26"/>
        </w:numPr>
        <w:tabs>
          <w:tab w:val="clear" w:pos="708"/>
          <w:tab w:val="left" w:pos="567" w:leader="none"/>
        </w:tabs>
        <w:spacing w:before="0" w:after="0"/>
        <w:contextualSpacing/>
        <w:jc w:val="both"/>
        <w:rPr>
          <w:rFonts w:cs="" w:cstheme="minorBidi"/>
          <w:color w:val="auto"/>
        </w:rPr>
      </w:pPr>
      <w:r>
        <w:rPr>
          <w:rFonts w:cs="" w:cstheme="minorBidi"/>
          <w:color w:val="auto"/>
        </w:rPr>
        <w:t>pomoc Zamawiającemu w ewidencji zgłoszeń w Systemie CHD;</w:t>
      </w:r>
    </w:p>
    <w:p>
      <w:pPr>
        <w:pStyle w:val="ListParagraph"/>
        <w:numPr>
          <w:ilvl w:val="1"/>
          <w:numId w:val="26"/>
        </w:numPr>
        <w:spacing w:before="0" w:after="0"/>
        <w:contextualSpacing/>
        <w:jc w:val="both"/>
        <w:rPr>
          <w:rFonts w:cs="" w:cstheme="minorBidi"/>
          <w:color w:val="auto"/>
        </w:rPr>
      </w:pPr>
      <w:r>
        <w:rPr>
          <w:rFonts w:cs="" w:cstheme="minorBidi"/>
          <w:color w:val="auto"/>
        </w:rPr>
        <w:t>przygotowywanie i konfigurowanie definiowalnych w ramach Oprogramowania Aplikacyjnego dokumentów (np. raportów, pism i sprawozdań) zgodnie z wymaganiami Zamawiającego.</w:t>
      </w:r>
    </w:p>
    <w:p>
      <w:pPr>
        <w:pStyle w:val="ListParagraph"/>
        <w:numPr>
          <w:ilvl w:val="1"/>
          <w:numId w:val="26"/>
        </w:numPr>
        <w:spacing w:before="0" w:after="0"/>
        <w:contextualSpacing/>
        <w:jc w:val="both"/>
        <w:rPr>
          <w:rFonts w:cs="" w:cstheme="minorBidi"/>
          <w:color w:val="auto"/>
        </w:rPr>
      </w:pPr>
      <w:r>
        <w:rPr>
          <w:rFonts w:cs="" w:cstheme="minorBidi"/>
          <w:color w:val="auto"/>
        </w:rPr>
        <w:t>bieżące optymalizowanie konfiguracji Oprogramowania Aplikacyjnego, uwzględniające potrzeby Zamawiającego;</w:t>
      </w:r>
    </w:p>
    <w:p>
      <w:pPr>
        <w:pStyle w:val="ListParagraph"/>
        <w:numPr>
          <w:ilvl w:val="1"/>
          <w:numId w:val="26"/>
        </w:numPr>
        <w:spacing w:before="0" w:after="0"/>
        <w:contextualSpacing/>
        <w:jc w:val="both"/>
        <w:rPr>
          <w:rFonts w:cs="" w:cstheme="minorBidi"/>
          <w:color w:val="auto"/>
        </w:rPr>
      </w:pPr>
      <w:r>
        <w:rPr>
          <w:rFonts w:cs="" w:cstheme="minorBidi"/>
          <w:color w:val="auto"/>
        </w:rPr>
        <w:t xml:space="preserve">dokonywanie na wniosek Zamawiającego niezbędnych rekonfiguracji i reinstalacji elementów Systemu Informatycznego w przypadku reorganizacji i optymalizacji w ramach dotychczas istniejącej infrastruktury informatycznej Zamawiającego </w:t>
      </w:r>
    </w:p>
    <w:p>
      <w:pPr>
        <w:pStyle w:val="ListParagraph"/>
        <w:numPr>
          <w:ilvl w:val="1"/>
          <w:numId w:val="26"/>
        </w:numPr>
        <w:spacing w:before="0" w:after="0"/>
        <w:contextualSpacing/>
        <w:jc w:val="both"/>
        <w:rPr>
          <w:rFonts w:cs="" w:cstheme="minorBidi"/>
          <w:color w:val="auto"/>
        </w:rPr>
      </w:pPr>
      <w:r>
        <w:rPr>
          <w:rFonts w:cs="" w:cstheme="minorBidi"/>
          <w:color w:val="auto"/>
        </w:rPr>
        <w:t>możliwość korzystania z konsultacji telefonicznych u Podwykonawcy, dysponującego pracownikami certyfikowanymi w zakresie realizacji przedmiotu Umowy, określonego w ust. 1,</w:t>
      </w:r>
    </w:p>
    <w:p>
      <w:pPr>
        <w:pStyle w:val="ListParagraph"/>
        <w:numPr>
          <w:ilvl w:val="1"/>
          <w:numId w:val="26"/>
        </w:numPr>
        <w:spacing w:before="0" w:after="0"/>
        <w:contextualSpacing/>
        <w:jc w:val="both"/>
        <w:rPr>
          <w:rFonts w:cs="" w:cstheme="minorBidi"/>
          <w:color w:val="auto"/>
        </w:rPr>
      </w:pPr>
      <w:r>
        <w:rPr>
          <w:rFonts w:cs="" w:cstheme="minorBidi"/>
          <w:color w:val="auto"/>
        </w:rPr>
        <w:t>prowadzenie rejestru kontaktów z Zamawiającym, obejmującego Zgłoszenia i Zadania serwisowe w tym wizyty serwisowe i wykonane czynności, w tym zmiany konfiguracji Oprogramowania Aplikacyjnego, w zakresie informacji rejestrowanych w Systemie CHD. Rejestracja i obsługa zgłoszeń serwisowych przez Zamawiającego odbywać się będzie poprzez System CHD Wykonawcy zgodnie z obowiązującym regulaminem; w razie trudności z rejestracją zgłoszenia na w/w witrynie internetowej, Zamawiający może dokonać zgłoszenia telefonicznie lub poprzez e-mail, (z zastrzeżeniem niezwłocznej rejestracji zgłoszenia w Systemie CHD). W takim przypadku zgłoszenia telefonicznego można dokonać pod numerem telefonu Podwykonawcy: ……………………… lub za pomocą poczty elektronicznej na adres Podwykonawcy: ...................................</w:t>
      </w:r>
    </w:p>
    <w:p>
      <w:pPr>
        <w:pStyle w:val="ListParagraph"/>
        <w:numPr>
          <w:ilvl w:val="0"/>
          <w:numId w:val="26"/>
        </w:numPr>
        <w:spacing w:before="0" w:after="0"/>
        <w:contextualSpacing/>
        <w:jc w:val="both"/>
        <w:rPr>
          <w:rFonts w:cs="" w:cstheme="minorBidi"/>
          <w:color w:val="auto"/>
        </w:rPr>
      </w:pPr>
      <w:r>
        <w:rPr>
          <w:rFonts w:cs="" w:cstheme="minorBidi"/>
          <w:color w:val="auto"/>
        </w:rPr>
        <w:t>Usługi określone w ust.</w:t>
      </w:r>
      <w:r>
        <w:rPr>
          <w:rFonts w:cs="" w:cstheme="minorBidi"/>
          <w:color w:val="auto"/>
          <w:shd w:fill="FFFF00" w:val="clear"/>
        </w:rPr>
        <w:t xml:space="preserve"> 1 lit. d– l świadczone b</w:t>
      </w:r>
      <w:r>
        <w:rPr>
          <w:rFonts w:cs="" w:cstheme="minorBidi"/>
          <w:color w:val="auto"/>
        </w:rPr>
        <w:t>ędą przez Wykonawcę wg poniższych zasad:</w:t>
      </w:r>
    </w:p>
    <w:p>
      <w:pPr>
        <w:pStyle w:val="ListParagraph"/>
        <w:numPr>
          <w:ilvl w:val="0"/>
          <w:numId w:val="1"/>
        </w:numPr>
        <w:spacing w:before="0" w:after="0"/>
        <w:contextualSpacing/>
        <w:jc w:val="both"/>
        <w:rPr>
          <w:rFonts w:cs="" w:cstheme="minorBidi"/>
          <w:color w:val="auto"/>
        </w:rPr>
      </w:pPr>
      <w:r>
        <w:rPr>
          <w:rFonts w:cs="" w:cstheme="minorBidi"/>
          <w:color w:val="auto"/>
        </w:rPr>
        <w:t>w Dni Robocze tj. dni od poniedziałku do piątku z wyłączeniem dni ustawowo wolnych od pracy, w godzinach od 8.00 do 16.00;</w:t>
      </w:r>
    </w:p>
    <w:p>
      <w:pPr>
        <w:pStyle w:val="ListParagraph"/>
        <w:numPr>
          <w:ilvl w:val="0"/>
          <w:numId w:val="1"/>
        </w:numPr>
        <w:spacing w:before="0" w:after="0"/>
        <w:contextualSpacing/>
        <w:jc w:val="both"/>
        <w:rPr>
          <w:rFonts w:cs="" w:cstheme="minorBidi"/>
          <w:color w:val="auto"/>
        </w:rPr>
      </w:pPr>
      <w:r>
        <w:rPr>
          <w:rFonts w:cs="" w:cstheme="minorBidi"/>
          <w:color w:val="auto"/>
        </w:rPr>
        <w:t>konsultacje i prace wykonywane za pomocą zdalnego dostępu rozliczane będą z dokładnością do 0,5 pełnej godziny, zaokrąglając w górę, nie mniej niż 0,5 godziny dla zlecenia;</w:t>
      </w:r>
    </w:p>
    <w:p>
      <w:pPr>
        <w:pStyle w:val="ListParagraph"/>
        <w:numPr>
          <w:ilvl w:val="0"/>
          <w:numId w:val="1"/>
        </w:numPr>
        <w:spacing w:before="0" w:after="0"/>
        <w:contextualSpacing/>
        <w:jc w:val="both"/>
        <w:rPr>
          <w:rFonts w:cs="" w:cstheme="minorBidi"/>
          <w:color w:val="auto"/>
        </w:rPr>
      </w:pPr>
      <w:r>
        <w:rPr>
          <w:rFonts w:cs="" w:cstheme="minorBidi"/>
          <w:color w:val="auto"/>
        </w:rPr>
        <w:t>prace realizowane w siedzibie Zamawiającego (wizyty) będą rozliczane z dokładnością do pełnej godziny zaokrąglając w górę, nie mniej niż 6 godzin dla zlecenia;</w:t>
      </w:r>
    </w:p>
    <w:p>
      <w:pPr>
        <w:pStyle w:val="ListParagraph"/>
        <w:numPr>
          <w:ilvl w:val="0"/>
          <w:numId w:val="1"/>
        </w:numPr>
        <w:spacing w:before="0" w:after="0"/>
        <w:contextualSpacing/>
        <w:jc w:val="both"/>
        <w:rPr>
          <w:rFonts w:cs="" w:cstheme="minorBidi"/>
          <w:color w:val="auto"/>
        </w:rPr>
      </w:pPr>
      <w:r>
        <w:rPr>
          <w:rFonts w:cs="" w:cstheme="minorBidi"/>
          <w:color w:val="auto"/>
        </w:rPr>
        <w:t>po uzgodnieniu z Wykonawcą Zamawiający może zlecić wykonanie prac w Dni Robocze w godzinach pomiędzy 16.01 a 7.59. Prace te będą rozliczane jako podwojona liczba godzin serwisowych rozliczanych zgodnie z ust. 3 lit. b;</w:t>
      </w:r>
    </w:p>
    <w:p>
      <w:pPr>
        <w:pStyle w:val="ListParagraph"/>
        <w:numPr>
          <w:ilvl w:val="0"/>
          <w:numId w:val="1"/>
        </w:numPr>
        <w:spacing w:before="0" w:after="0"/>
        <w:contextualSpacing/>
        <w:jc w:val="both"/>
        <w:rPr>
          <w:rFonts w:cs="" w:cstheme="minorBidi"/>
          <w:color w:val="auto"/>
        </w:rPr>
      </w:pPr>
      <w:r>
        <w:rPr>
          <w:rFonts w:cs="" w:cstheme="minorBidi"/>
          <w:color w:val="auto"/>
        </w:rPr>
        <w:t>po uzgodnieniu z Wykonawcą Zamawiający może zlecić wykonanie prac serwisowych w dni ustawowo wolne, niedziele i święta. Prace te będą rozliczane jako potrojona liczba godzin serwisowych rozliczanych zgodnie z ust. 3 lit. b;</w:t>
      </w:r>
    </w:p>
    <w:p>
      <w:pPr>
        <w:pStyle w:val="ListParagraph"/>
        <w:numPr>
          <w:ilvl w:val="0"/>
          <w:numId w:val="1"/>
        </w:numPr>
        <w:spacing w:before="0" w:after="0"/>
        <w:contextualSpacing/>
        <w:jc w:val="both"/>
        <w:rPr>
          <w:rFonts w:cs="" w:cstheme="minorBidi"/>
          <w:color w:val="auto"/>
        </w:rPr>
      </w:pPr>
      <w:r>
        <w:rPr>
          <w:rFonts w:cs="" w:cstheme="minorBidi"/>
          <w:color w:val="auto"/>
        </w:rPr>
        <w:t>usługi określone w ust.</w:t>
      </w:r>
      <w:r>
        <w:rPr>
          <w:rFonts w:cs="" w:cstheme="minorBidi"/>
          <w:color w:val="auto"/>
          <w:shd w:fill="FFFF00" w:val="clear"/>
        </w:rPr>
        <w:t xml:space="preserve"> 1 lit. d – l </w:t>
      </w:r>
      <w:r>
        <w:rPr>
          <w:rFonts w:cs="" w:cstheme="minorBidi"/>
          <w:color w:val="auto"/>
        </w:rPr>
        <w:t xml:space="preserve">świadczone będą przez Wykonawcę w wymiarze nieprzekraczającym </w:t>
      </w:r>
      <w:r>
        <w:rPr>
          <w:rFonts w:cs="" w:cstheme="minorBidi"/>
          <w:b/>
          <w:bCs/>
          <w:color w:val="auto"/>
        </w:rPr>
        <w:t>2100</w:t>
      </w:r>
      <w:r>
        <w:rPr>
          <w:rFonts w:cs="" w:cstheme="minorBidi"/>
          <w:color w:val="auto"/>
        </w:rPr>
        <w:t xml:space="preserve"> Roboczogodzin; o wyczerpaniu limitu Wykonawca zobowiązany jest każdorazowo informować Zamawiającego.;</w:t>
      </w:r>
    </w:p>
    <w:p>
      <w:pPr>
        <w:pStyle w:val="ListParagraph"/>
        <w:numPr>
          <w:ilvl w:val="0"/>
          <w:numId w:val="1"/>
        </w:numPr>
        <w:spacing w:before="0" w:after="0"/>
        <w:contextualSpacing/>
        <w:jc w:val="both"/>
        <w:rPr>
          <w:rFonts w:cs="" w:cstheme="minorBidi"/>
          <w:color w:val="auto"/>
        </w:rPr>
      </w:pPr>
      <w:r>
        <w:rPr>
          <w:rFonts w:cs="" w:cstheme="minorBidi"/>
          <w:color w:val="auto"/>
        </w:rPr>
        <w:t>limit, o którym mowa w pkt f) obejmuje całość prac wykonanych przez Wykonawcę dla realizacji Zgłoszeń lub Zadań Gwarancyjnych zarówno w siedzibie Zamawiającego, Wykonawcy, lub Podwykonawcy jak i poprzez połączenia zdalne realizowane przez ich personel.</w:t>
      </w:r>
    </w:p>
    <w:p>
      <w:pPr>
        <w:pStyle w:val="ListParagraph"/>
        <w:spacing w:before="0" w:after="0"/>
        <w:contextualSpacing/>
        <w:jc w:val="both"/>
        <w:rPr>
          <w:rFonts w:cs="" w:cstheme="minorBidi"/>
          <w:color w:val="auto"/>
        </w:rPr>
      </w:pPr>
      <w:r>
        <w:rPr>
          <w:rFonts w:cs="" w:cstheme="minorBidi"/>
          <w:color w:val="auto"/>
        </w:rPr>
      </w:r>
    </w:p>
    <w:p>
      <w:pPr>
        <w:pStyle w:val="Normal"/>
        <w:spacing w:before="0" w:after="0"/>
        <w:jc w:val="center"/>
        <w:rPr>
          <w:rFonts w:cs="Calibri" w:cstheme="minorHAnsi"/>
          <w:color w:val="auto"/>
        </w:rPr>
      </w:pPr>
      <w:r>
        <w:rPr>
          <w:rFonts w:cs="Calibri" w:cstheme="minorHAnsi"/>
          <w:color w:val="auto"/>
        </w:rPr>
      </w:r>
    </w:p>
    <w:p>
      <w:pPr>
        <w:pStyle w:val="Normal"/>
        <w:spacing w:before="0" w:after="0"/>
        <w:jc w:val="center"/>
        <w:rPr>
          <w:rFonts w:cs="Calibri" w:cstheme="minorHAnsi"/>
          <w:b/>
          <w:bCs/>
          <w:color w:val="auto"/>
        </w:rPr>
      </w:pPr>
      <w:r>
        <w:rPr>
          <w:rFonts w:cs="Calibri" w:cstheme="minorHAnsi"/>
          <w:b/>
          <w:bCs/>
          <w:color w:val="auto"/>
        </w:rPr>
        <w:t>ZOBOWIĄZANIA ZAMAWIAJĄCEGO</w:t>
      </w:r>
    </w:p>
    <w:p>
      <w:pPr>
        <w:pStyle w:val="Normal"/>
        <w:spacing w:before="0" w:after="0"/>
        <w:jc w:val="center"/>
        <w:rPr>
          <w:rFonts w:cs="Calibri" w:cstheme="minorHAnsi"/>
          <w:b/>
          <w:bCs/>
          <w:color w:val="auto"/>
        </w:rPr>
      </w:pPr>
      <w:r>
        <w:rPr>
          <w:rFonts w:cs="Calibri" w:cstheme="minorHAnsi"/>
          <w:b/>
          <w:bCs/>
          <w:color w:val="auto"/>
        </w:rPr>
      </w:r>
    </w:p>
    <w:p>
      <w:pPr>
        <w:pStyle w:val="Normal"/>
        <w:numPr>
          <w:ilvl w:val="0"/>
          <w:numId w:val="30"/>
        </w:numPr>
        <w:spacing w:before="0" w:after="0"/>
        <w:jc w:val="both"/>
        <w:rPr>
          <w:rFonts w:cs="Calibri" w:cstheme="minorHAnsi"/>
          <w:color w:val="auto"/>
        </w:rPr>
      </w:pPr>
      <w:r>
        <w:rPr>
          <w:rFonts w:cs="Calibri" w:cstheme="minorHAnsi"/>
          <w:color w:val="auto"/>
        </w:rPr>
        <w:t>Zamawiający zobowiązuje się do:</w:t>
      </w:r>
    </w:p>
    <w:p>
      <w:pPr>
        <w:pStyle w:val="Normal"/>
        <w:numPr>
          <w:ilvl w:val="1"/>
          <w:numId w:val="29"/>
        </w:numPr>
        <w:spacing w:before="0" w:after="0"/>
        <w:jc w:val="both"/>
        <w:rPr>
          <w:rFonts w:cs="Calibri" w:cstheme="minorHAnsi"/>
          <w:color w:val="auto"/>
        </w:rPr>
      </w:pPr>
      <w:r>
        <w:rPr>
          <w:rFonts w:cs="Calibri" w:cstheme="minorHAnsi"/>
          <w:color w:val="auto"/>
        </w:rPr>
        <w:t>Wyznaczenia Administratorów Systemu CHD ze strony Zamawiającego - dane tych osób zostały wskazane Dodatku nr 2 do niniejszego Załącznika (Informacje o Zamawiającym) oraz powiadomienia Wykonawcy o każdej zmianie tych osób (w formie pisemnej lub elektronicznej na Dodatku nr 2 do niniejszego Załącznika);</w:t>
      </w:r>
    </w:p>
    <w:p>
      <w:pPr>
        <w:pStyle w:val="Normal"/>
        <w:numPr>
          <w:ilvl w:val="1"/>
          <w:numId w:val="29"/>
        </w:numPr>
        <w:spacing w:before="0" w:after="0"/>
        <w:jc w:val="both"/>
        <w:rPr>
          <w:rFonts w:cs="Calibri" w:cstheme="minorHAnsi"/>
          <w:color w:val="auto"/>
        </w:rPr>
      </w:pPr>
      <w:r>
        <w:rPr>
          <w:rFonts w:cs="Calibri" w:cstheme="minorHAnsi"/>
          <w:color w:val="auto"/>
        </w:rPr>
        <w:t>Administratorzy Systemu CHD, wyznaczeni przez Zamawiającego, mogą utworzyć w systemie konta użytkowników dla pracowników Zamawiającego i nadać odpowiednie uprawnienia w zakresie:</w:t>
      </w:r>
    </w:p>
    <w:p>
      <w:pPr>
        <w:pStyle w:val="Normal"/>
        <w:numPr>
          <w:ilvl w:val="2"/>
          <w:numId w:val="29"/>
        </w:numPr>
        <w:spacing w:before="0" w:after="0"/>
        <w:jc w:val="both"/>
        <w:rPr>
          <w:rFonts w:cs="Calibri" w:cstheme="minorHAnsi"/>
          <w:color w:val="auto"/>
        </w:rPr>
      </w:pPr>
      <w:r>
        <w:rPr>
          <w:rFonts w:cs="Calibri" w:cstheme="minorHAnsi"/>
          <w:color w:val="auto"/>
        </w:rPr>
        <w:t>rejestrowania zgłoszeń dla Oprogramowania Aplikacyjnego w imieniu Zamawiającego</w:t>
      </w:r>
    </w:p>
    <w:p>
      <w:pPr>
        <w:pStyle w:val="Normal"/>
        <w:numPr>
          <w:ilvl w:val="2"/>
          <w:numId w:val="29"/>
        </w:numPr>
        <w:spacing w:before="0" w:after="0"/>
        <w:jc w:val="both"/>
        <w:rPr>
          <w:rFonts w:cs="Calibri" w:cstheme="minorHAnsi"/>
          <w:color w:val="auto"/>
        </w:rPr>
      </w:pPr>
      <w:r>
        <w:rPr>
          <w:rFonts w:cs="Calibri" w:cstheme="minorHAnsi"/>
          <w:color w:val="auto"/>
        </w:rPr>
        <w:t>koordynowania zgłoszeń Oprogramowania Aplikacyjnego Zamawiającego. Rola koordynatora umożliwia przegląd oraz modyfikację zgłoszeń innych osób rejestrujących zgłoszenia w imieniu Zamawiającego. Koordynatorami zgłoszeń powinny być osoby będące merytorycznymi liderami w ramach obszarów, w których pracuje Oprogramowanie Aplikacyjne.</w:t>
      </w:r>
    </w:p>
    <w:p>
      <w:pPr>
        <w:pStyle w:val="Normal"/>
        <w:numPr>
          <w:ilvl w:val="2"/>
          <w:numId w:val="29"/>
        </w:numPr>
        <w:spacing w:before="0" w:after="0"/>
        <w:jc w:val="both"/>
        <w:rPr>
          <w:rFonts w:cs="Calibri" w:cstheme="minorHAnsi"/>
          <w:color w:val="auto"/>
        </w:rPr>
      </w:pPr>
      <w:r>
        <w:rPr>
          <w:rFonts w:cs="Calibri" w:cstheme="minorHAnsi"/>
          <w:color w:val="auto"/>
        </w:rPr>
        <w:t>udostępniania baz danych Oprogramowania Aplikacyjnego pracującego u Zamawiającego, Osobie takiej przydzielane jest imienne konto na serwerze FTP Wykonawcy.</w:t>
      </w:r>
    </w:p>
    <w:p>
      <w:pPr>
        <w:pStyle w:val="Normal"/>
        <w:numPr>
          <w:ilvl w:val="2"/>
          <w:numId w:val="29"/>
        </w:numPr>
        <w:spacing w:before="0" w:after="0"/>
        <w:jc w:val="both"/>
        <w:rPr>
          <w:rFonts w:cs="Calibri" w:cstheme="minorHAnsi"/>
          <w:color w:val="auto"/>
        </w:rPr>
      </w:pPr>
      <w:r>
        <w:rPr>
          <w:rFonts w:cs="Calibri" w:cstheme="minorHAnsi"/>
          <w:color w:val="auto"/>
        </w:rPr>
        <w:t>Administrator Systemu CHD może utworzyć konta maksymalnie dla 20 użytkowników o statusie aktualny.</w:t>
      </w:r>
    </w:p>
    <w:p>
      <w:pPr>
        <w:pStyle w:val="Normal"/>
        <w:numPr>
          <w:ilvl w:val="1"/>
          <w:numId w:val="29"/>
        </w:numPr>
        <w:spacing w:before="0" w:after="0"/>
        <w:ind w:hanging="284" w:left="426"/>
        <w:jc w:val="both"/>
        <w:rPr>
          <w:rFonts w:cs="Calibri" w:cstheme="minorHAnsi"/>
          <w:color w:val="auto"/>
        </w:rPr>
      </w:pPr>
      <w:bookmarkStart w:id="18" w:name="_Hlk189583413"/>
      <w:r>
        <w:rPr>
          <w:rFonts w:cs="Calibri" w:cstheme="minorHAnsi"/>
          <w:color w:val="auto"/>
        </w:rPr>
        <w:t>Wykonywania niezwłocznie i w określonych interwałach czasowych czynności zaleconych przez Wykonawcę w ramach konserwacji Systemu Informatycznego, sprzętu komputerowego i oprogramowania osób trzecich, w szczególności czynności związanych z bezpieczeństwem i wydajnością pracy Systemu Informatycznego Zamawiającego i bezpieczeństwem danych gromadzonych w Systemie Informatycznym Zamawiającego</w:t>
      </w:r>
      <w:bookmarkEnd w:id="18"/>
      <w:r>
        <w:rPr>
          <w:rFonts w:cs="Calibri" w:cstheme="minorHAnsi"/>
          <w:color w:val="auto"/>
        </w:rPr>
        <w:t>.;</w:t>
      </w:r>
    </w:p>
    <w:p>
      <w:pPr>
        <w:pStyle w:val="Normal"/>
        <w:numPr>
          <w:ilvl w:val="1"/>
          <w:numId w:val="29"/>
        </w:numPr>
        <w:spacing w:before="0" w:after="0"/>
        <w:ind w:hanging="284" w:left="426"/>
        <w:jc w:val="both"/>
        <w:rPr>
          <w:rFonts w:cs="Calibri" w:cstheme="minorHAnsi"/>
          <w:color w:val="auto"/>
        </w:rPr>
      </w:pPr>
      <w:r>
        <w:rPr>
          <w:rFonts w:cs="Calibri" w:cstheme="minorHAnsi"/>
          <w:color w:val="auto"/>
        </w:rPr>
        <w:t>Bieżącego aktualizowania platform sprzętowo systemowych i Oprogramowania Bazodanowego, na których zainstalowany jest System Informatyczny zgodnie z zaleceniami producentów,</w:t>
      </w:r>
    </w:p>
    <w:p>
      <w:pPr>
        <w:pStyle w:val="Normal"/>
        <w:numPr>
          <w:ilvl w:val="1"/>
          <w:numId w:val="29"/>
        </w:numPr>
        <w:spacing w:before="0" w:after="0"/>
        <w:ind w:hanging="284" w:left="426"/>
        <w:jc w:val="both"/>
        <w:rPr>
          <w:rFonts w:cs="Calibri" w:cstheme="minorHAnsi"/>
          <w:color w:val="auto"/>
        </w:rPr>
      </w:pPr>
      <w:r>
        <w:rPr>
          <w:rFonts w:cs="Calibri" w:cstheme="minorHAnsi"/>
          <w:color w:val="auto"/>
        </w:rPr>
        <w:t xml:space="preserve">Powstrzymania się od samodzielnego lub przy udziale osób trzecich dokonywania nieautoryzowanych zmian w konfiguracji Oprogramowania Aplikacyjnego (zgodnie z art. 74 ust. 4 pkt 2 ustawy o prawie autorskim i prawach pokrewnych) lub sprzętu komputerowego, na którym wykorzystywane jest Oprogramowanie Aplikacyjne objęte niniejszą Umową, w tym Zamawiający zobowiązuje się także do powstrzymania się od samodzielnego dokonywania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 wszelkiego rodzaju zmiany muszą być wykonywane za uprzednią wyraźną zgodą Wykonawcy </w:t>
      </w:r>
    </w:p>
    <w:p>
      <w:pPr>
        <w:pStyle w:val="Normal"/>
        <w:numPr>
          <w:ilvl w:val="1"/>
          <w:numId w:val="29"/>
        </w:numPr>
        <w:spacing w:before="0" w:after="0"/>
        <w:ind w:hanging="284" w:left="426"/>
        <w:jc w:val="both"/>
        <w:rPr>
          <w:rFonts w:cs="Calibri" w:cstheme="minorHAnsi"/>
          <w:color w:val="auto"/>
        </w:rPr>
      </w:pPr>
      <w:r>
        <w:rPr>
          <w:rFonts w:cs="Calibri" w:cstheme="minorHAnsi"/>
          <w:color w:val="auto"/>
        </w:rPr>
        <w:t>Dostarczenia na wniosek Wykonawcy wskazanych fragmentów lub całości baz danych Oprogramowania Aplikacyjnego, w przypadku uzasadnionej potrzeby ich użycia do prawidłowej realizacji przedmiotu Umowy poza siedzibą Zamawiającego, przy zachowaniu poniższej procedury:</w:t>
      </w:r>
    </w:p>
    <w:p>
      <w:pPr>
        <w:pStyle w:val="Normal"/>
        <w:numPr>
          <w:ilvl w:val="2"/>
          <w:numId w:val="29"/>
        </w:numPr>
        <w:spacing w:before="0" w:after="0"/>
        <w:jc w:val="both"/>
        <w:rPr>
          <w:rFonts w:cs="Calibri" w:cstheme="minorHAnsi"/>
          <w:color w:val="auto"/>
        </w:rPr>
      </w:pPr>
      <w:r>
        <w:rPr>
          <w:rFonts w:cs="Calibri" w:cstheme="minorHAnsi"/>
          <w:color w:val="auto"/>
        </w:rPr>
        <w:t>uprawiony pracownik Zamawiającego przekaże bazę danych Wykonawcy, poprzez jej skopiowanie na serwer FTPS o adresie: ………………………… lub na serwer FTPS o adresie podanym przez Autoryzowanego Przedstawiciela Serwisowego Wykonawcy, w pliku archiwum (np. w formacie zip) zabezpieczonym hasłem (minimum 12 znakowym uwzględniającym co najmniej jedną duża lub mała litera alfabetu, minimum 1 znak specjalny i minimum 1 cyfrę). Hasło do pliku archiwum zawierającego bazę danych będzie przekazywane SMS'em osobie ze Strony Wykonawcy /Autoryzowanego Przedstawiciela Serwisowego Wykonawcy, która wnioskowała o udostępnienie bazy danych. Zaszyfrowany plik archiwum z bazą danych będzie skopiowany przez pracownika Zamawiającego do katalogu domowego Zamawiającego na wskazanym wyżej serwerze FTPS, skąd będzie go mógł pobrać pracownik Wykonawcy wnioskujący o udostępnienie bazy danych.</w:t>
      </w:r>
    </w:p>
    <w:p>
      <w:pPr>
        <w:pStyle w:val="Normal"/>
        <w:numPr>
          <w:ilvl w:val="2"/>
          <w:numId w:val="29"/>
        </w:numPr>
        <w:spacing w:before="0" w:after="0"/>
        <w:jc w:val="both"/>
        <w:rPr>
          <w:rFonts w:cs="Calibri" w:cstheme="minorHAnsi"/>
          <w:color w:val="auto"/>
        </w:rPr>
      </w:pPr>
      <w:r>
        <w:rPr>
          <w:rFonts w:cs="Calibri" w:cstheme="minorHAnsi"/>
          <w:color w:val="auto"/>
        </w:rPr>
        <w:t>osoby upoważnione przez Wykonawcę do przetwarzania danych osobowych, mogą wnioskować o udostępnienie bazy danych Oprogramowania Aplikacyjnego przy użyciu indywidualnego konta na serwerze FTPS;</w:t>
      </w:r>
    </w:p>
    <w:p>
      <w:pPr>
        <w:pStyle w:val="Normal"/>
        <w:numPr>
          <w:ilvl w:val="2"/>
          <w:numId w:val="29"/>
        </w:numPr>
        <w:spacing w:before="0" w:after="0"/>
        <w:jc w:val="both"/>
        <w:rPr>
          <w:rFonts w:cs="Calibri" w:cstheme="minorHAnsi"/>
          <w:color w:val="auto"/>
        </w:rPr>
      </w:pPr>
      <w:r>
        <w:rPr>
          <w:rFonts w:cs="Calibri" w:cstheme="minorHAnsi"/>
          <w:color w:val="auto"/>
        </w:rPr>
        <w:t>osoby mogące udostępniać bazę danych ze Strony Zamawiającego, przy użyciu indywidualnego konta na serwerze FTPS, o którym mowa powyżej wskazuje Administrator Systemu CHD zgodnie z pkt. I.2;</w:t>
      </w:r>
    </w:p>
    <w:p>
      <w:pPr>
        <w:pStyle w:val="Normal"/>
        <w:numPr>
          <w:ilvl w:val="2"/>
          <w:numId w:val="29"/>
        </w:numPr>
        <w:spacing w:before="0" w:after="0"/>
        <w:jc w:val="both"/>
        <w:rPr>
          <w:rFonts w:cs="Calibri" w:cstheme="minorHAnsi"/>
          <w:color w:val="auto"/>
        </w:rPr>
      </w:pPr>
      <w:r>
        <w:rPr>
          <w:rFonts w:cs="Calibri" w:cstheme="minorHAnsi"/>
          <w:color w:val="auto"/>
        </w:rPr>
        <w:t>dostęp do serwerów FTPS wymaga uwierzytelnienia identyfikatorem i hasłem. Każdy użytkownik ze strony Zamawiającego, chcący skorzystać z zasobów serwera i mając do tego uprawnienie: nadane przez Administratora Systemu CHD, będzie zobowiązany do posiadania własnego identyfikatora;</w:t>
      </w:r>
    </w:p>
    <w:p>
      <w:pPr>
        <w:pStyle w:val="Normal"/>
        <w:numPr>
          <w:ilvl w:val="1"/>
          <w:numId w:val="29"/>
        </w:numPr>
        <w:spacing w:before="0" w:after="0"/>
        <w:jc w:val="both"/>
        <w:rPr>
          <w:rFonts w:cs="Calibri" w:cstheme="minorHAnsi"/>
          <w:color w:val="auto"/>
        </w:rPr>
      </w:pPr>
      <w:r>
        <w:rPr>
          <w:rFonts w:cs="Calibri" w:cstheme="minorHAnsi"/>
          <w:color w:val="auto"/>
        </w:rPr>
        <w:t xml:space="preserve">Delegowania i upoważnienia pracowników do współpracy z Wykonawcą w zakresie potrzebnym do świadczenia usług określonych niniejszą Umową; </w:t>
      </w:r>
    </w:p>
    <w:p>
      <w:pPr>
        <w:pStyle w:val="Normal"/>
        <w:numPr>
          <w:ilvl w:val="1"/>
          <w:numId w:val="29"/>
        </w:numPr>
        <w:spacing w:before="0" w:after="0"/>
        <w:jc w:val="both"/>
        <w:rPr>
          <w:rFonts w:cs="Calibri" w:cstheme="minorHAnsi"/>
          <w:color w:val="auto"/>
        </w:rPr>
      </w:pPr>
      <w:r>
        <w:rPr>
          <w:rFonts w:cs="Calibri" w:cstheme="minorHAnsi"/>
          <w:color w:val="auto"/>
        </w:rPr>
        <w:t>Zapewnienia, aby Oprogramowanie Aplikacyjne, zainstalowane u Zamawiającego, wymienione było używane wyłącznie przez użytkowników upoważnionych przez Zamawiającego do korzystania z ww. oprogramowania zgodnie z dokumentacją i instrukcjami Wykonawcy;</w:t>
      </w:r>
    </w:p>
    <w:p>
      <w:pPr>
        <w:pStyle w:val="Normal"/>
        <w:numPr>
          <w:ilvl w:val="1"/>
          <w:numId w:val="29"/>
        </w:numPr>
        <w:spacing w:before="0" w:after="0"/>
        <w:jc w:val="both"/>
        <w:rPr>
          <w:rFonts w:cs="Calibri" w:cstheme="minorHAnsi"/>
          <w:color w:val="auto"/>
        </w:rPr>
      </w:pPr>
      <w:r>
        <w:rPr>
          <w:rFonts w:cs="Calibri" w:cstheme="minorHAnsi"/>
          <w:color w:val="auto"/>
        </w:rPr>
        <w:t xml:space="preserve">Dokonywania prawidłowo zakwalifikowanych zgłoszeń, w tym zakwalifikowanych zgodnie z przyjętymi w Umowie definicjami zgłoszeń ewentualnych błędów, zgodnie z procedurą przewidzianą niniejszą Umową. </w:t>
      </w:r>
      <w:bookmarkStart w:id="19" w:name="_Hlk189580284"/>
      <w:r>
        <w:rPr>
          <w:rFonts w:cs="Calibri" w:cstheme="minorHAnsi"/>
          <w:color w:val="auto"/>
        </w:rPr>
        <w:t>Zgłoszenia mogą być dokonywane do wersji Oprogramowania Aplikacyjnego opublikowanej nie wcześniej niż 120 dni kalendarzowych od dnia rejestracji zgłoszenia w Systemie CHD</w:t>
      </w:r>
      <w:bookmarkEnd w:id="19"/>
    </w:p>
    <w:p>
      <w:pPr>
        <w:pStyle w:val="Normal"/>
        <w:numPr>
          <w:ilvl w:val="1"/>
          <w:numId w:val="29"/>
        </w:numPr>
        <w:spacing w:before="0" w:after="0"/>
        <w:jc w:val="both"/>
        <w:rPr>
          <w:rFonts w:cs="Calibri" w:cstheme="minorHAnsi"/>
          <w:color w:val="auto"/>
        </w:rPr>
      </w:pPr>
      <w:r>
        <w:rPr>
          <w:rFonts w:cs="Calibri" w:cstheme="minorHAnsi"/>
          <w:color w:val="auto"/>
        </w:rPr>
        <w:t>Dostarczania Wykonawcy rzetelnych i wyczerpujących informacji o stanie Oprogramowania Aplikacyjnego, o zamiarach wprowadzenia zmian w działalności Zamawiającego oraz materiałów potrzebnych do wykonania usług w zakresie Umowy, z odpowiednim wyprzedzeniem;</w:t>
      </w:r>
    </w:p>
    <w:p>
      <w:pPr>
        <w:pStyle w:val="Normal"/>
        <w:numPr>
          <w:ilvl w:val="1"/>
          <w:numId w:val="29"/>
        </w:numPr>
        <w:spacing w:before="0" w:after="0"/>
        <w:jc w:val="both"/>
        <w:rPr>
          <w:rFonts w:cs="Calibri" w:cstheme="minorHAnsi"/>
          <w:color w:val="auto"/>
        </w:rPr>
      </w:pPr>
      <w:r>
        <w:rPr>
          <w:rFonts w:cs="Calibri" w:cstheme="minorHAnsi"/>
          <w:color w:val="auto"/>
        </w:rPr>
        <w:t>Przekazywania na bieżąco Wykonawcy wszystkich przepisów i regulaminów obowiązujących u Zamawiającego, które mogą mieć zastosowanie w realizacji Umowy, w tym obowiązujących wykładni prawnych lub wskazówek jednostek nadrzędnych (np. Narodowy Fundusz Zdrowia, Ministerstwo Zdrowia, Samorządowy Wydział Zdrowia, Organ Założycielski, inne);</w:t>
      </w:r>
    </w:p>
    <w:p>
      <w:pPr>
        <w:pStyle w:val="Normal"/>
        <w:numPr>
          <w:ilvl w:val="1"/>
          <w:numId w:val="29"/>
        </w:numPr>
        <w:spacing w:before="0" w:after="0"/>
        <w:jc w:val="both"/>
        <w:rPr>
          <w:rFonts w:cs="Calibri" w:cstheme="minorHAnsi"/>
          <w:color w:val="auto"/>
        </w:rPr>
      </w:pPr>
      <w:r>
        <w:rPr>
          <w:rFonts w:cs="Calibri" w:cstheme="minorHAnsi"/>
          <w:color w:val="auto"/>
        </w:rPr>
        <w:t>Zapewnienia Wykonawcy możliwości stałego dostępu do Oprogramowania Aplikacyjnego, w tym pracy w godzinach popołudniowych i wieczornych, a także zapewnienia obecności w tym czasie, upoważnionego przedstawiciela Zamawiającego;</w:t>
      </w:r>
    </w:p>
    <w:p>
      <w:pPr>
        <w:pStyle w:val="Normal"/>
        <w:numPr>
          <w:ilvl w:val="1"/>
          <w:numId w:val="29"/>
        </w:numPr>
        <w:spacing w:before="0" w:after="0"/>
        <w:jc w:val="both"/>
        <w:rPr>
          <w:rFonts w:cs="Calibri" w:cstheme="minorHAnsi"/>
          <w:color w:val="auto"/>
        </w:rPr>
      </w:pPr>
      <w:r>
        <w:rPr>
          <w:rFonts w:cs="Calibri" w:cstheme="minorHAnsi"/>
          <w:color w:val="auto"/>
        </w:rPr>
        <w:t>Udostępnienia Wykonawcy sprzętu komputerowego i Oprogramowania Aplikacyjnego Zamawiającego lub oprogramowania osób trzecich w zakresie potrzebnym do świadczenia Gwarancji;</w:t>
      </w:r>
    </w:p>
    <w:p>
      <w:pPr>
        <w:pStyle w:val="Normal"/>
        <w:numPr>
          <w:ilvl w:val="1"/>
          <w:numId w:val="29"/>
        </w:numPr>
        <w:spacing w:before="0" w:after="0"/>
        <w:jc w:val="both"/>
        <w:rPr>
          <w:rFonts w:cs="Calibri" w:cstheme="minorHAnsi"/>
          <w:color w:val="auto"/>
        </w:rPr>
      </w:pPr>
      <w:r>
        <w:rPr>
          <w:rFonts w:cs="Calibri" w:cstheme="minorHAnsi"/>
          <w:color w:val="auto"/>
        </w:rPr>
        <w:t>zapewnienia pracownikom Wykonawcy warunków do świadczenia Gwarancji, z uwzględnieniem obowiązujących u siebie przepisów BHP, jeżeli świadczenie usług odbywa się w siedzibie Zamawiającego;</w:t>
      </w:r>
    </w:p>
    <w:p>
      <w:pPr>
        <w:pStyle w:val="Normal"/>
        <w:numPr>
          <w:ilvl w:val="1"/>
          <w:numId w:val="29"/>
        </w:numPr>
        <w:spacing w:before="0" w:after="0"/>
        <w:jc w:val="both"/>
        <w:rPr>
          <w:rFonts w:cs="Calibri" w:cstheme="minorHAnsi"/>
          <w:color w:val="auto"/>
        </w:rPr>
      </w:pPr>
      <w:r>
        <w:rPr>
          <w:rFonts w:cs="Calibri" w:cstheme="minorHAnsi"/>
          <w:color w:val="auto"/>
        </w:rPr>
        <w:t>zapewnienia zdalnego dostępu do Oprogramowania Aplikacyjnego, objętego Gwarancją, o ile to będzie konieczne.</w:t>
      </w:r>
    </w:p>
    <w:p>
      <w:pPr>
        <w:pStyle w:val="Normal"/>
        <w:spacing w:before="0" w:after="0"/>
        <w:jc w:val="both"/>
        <w:rPr>
          <w:rFonts w:cs="Calibri" w:cstheme="minorHAnsi"/>
          <w:color w:val="auto"/>
        </w:rPr>
      </w:pPr>
      <w:bookmarkStart w:id="20" w:name="_Hlk189580341"/>
      <w:r>
        <w:rPr>
          <w:rFonts w:cs="Calibri" w:cstheme="minorHAnsi"/>
          <w:color w:val="auto"/>
        </w:rPr>
        <w:t xml:space="preserve">Jeśli Zamawiający nie wywiąże się z obowiązków wymienionych powyżej, okoliczność ta traktowana będzie jako zwłoka Zamawiającego, a Wykonawca nie ponosi odpowiedzialności za dotrzymanie terminów przewidzianych Umową. </w:t>
      </w:r>
      <w:bookmarkEnd w:id="20"/>
    </w:p>
    <w:p>
      <w:pPr>
        <w:pStyle w:val="Normal"/>
        <w:spacing w:before="0" w:after="0"/>
        <w:rPr>
          <w:rStyle w:val="Strong"/>
          <w:rFonts w:eastAsia="Times New Roman" w:cs="Calibri" w:cstheme="minorHAnsi"/>
          <w:bCs w:val="false"/>
          <w:color w:val="auto"/>
          <w:lang w:eastAsia="pl-PL"/>
        </w:rPr>
      </w:pPr>
      <w:r>
        <w:rPr>
          <w:rFonts w:eastAsia="Times New Roman" w:cs="Calibri" w:cstheme="minorHAnsi"/>
          <w:bCs w:val="false"/>
          <w:color w:val="auto"/>
          <w:lang w:eastAsia="pl-PL"/>
        </w:rPr>
      </w:r>
    </w:p>
    <w:p>
      <w:pPr>
        <w:pStyle w:val="Normal"/>
        <w:spacing w:before="0" w:after="0"/>
        <w:rPr>
          <w:rFonts w:cs="Calibri" w:cstheme="minorHAnsi"/>
          <w:b/>
          <w:bCs/>
          <w:color w:val="auto"/>
        </w:rPr>
      </w:pPr>
      <w:r>
        <w:rPr>
          <w:rFonts w:cs="Calibri" w:cstheme="minorHAnsi"/>
          <w:b/>
          <w:bCs/>
          <w:color w:val="auto"/>
        </w:rPr>
      </w:r>
      <w:r>
        <w:br w:type="page"/>
      </w:r>
    </w:p>
    <w:p>
      <w:pPr>
        <w:pStyle w:val="Normal"/>
        <w:spacing w:before="0" w:after="0"/>
        <w:jc w:val="center"/>
        <w:rPr>
          <w:rFonts w:cs="Calibri" w:cstheme="minorHAnsi"/>
          <w:b/>
          <w:bCs/>
          <w:color w:val="auto"/>
        </w:rPr>
      </w:pPr>
      <w:r>
        <w:rPr>
          <w:rFonts w:cs="Calibri" w:cstheme="minorHAnsi"/>
          <w:b/>
          <w:bCs/>
          <w:color w:val="auto"/>
        </w:rPr>
        <w:t>DODATEK NR 1 DO ZAŁĄCZNIKA NR 3</w:t>
      </w:r>
    </w:p>
    <w:p>
      <w:pPr>
        <w:pStyle w:val="Normal"/>
        <w:spacing w:before="0" w:after="0"/>
        <w:ind w:left="284"/>
        <w:jc w:val="center"/>
        <w:rPr>
          <w:rFonts w:cs="Calibri" w:cstheme="minorHAnsi"/>
          <w:b/>
          <w:bCs/>
          <w:color w:val="auto"/>
        </w:rPr>
      </w:pPr>
      <w:r>
        <w:rPr>
          <w:rFonts w:cs="Calibri" w:cstheme="minorHAnsi"/>
          <w:b/>
          <w:bCs/>
          <w:color w:val="auto"/>
        </w:rPr>
      </w:r>
    </w:p>
    <w:p>
      <w:pPr>
        <w:pStyle w:val="Normal"/>
        <w:spacing w:before="0" w:after="0"/>
        <w:ind w:left="284"/>
        <w:jc w:val="center"/>
        <w:rPr>
          <w:rFonts w:cs="Calibri" w:cstheme="minorHAnsi"/>
          <w:b/>
          <w:bCs/>
          <w:color w:val="auto"/>
        </w:rPr>
      </w:pPr>
      <w:r>
        <w:rPr>
          <w:rFonts w:cs="Calibri" w:cstheme="minorHAnsi"/>
          <w:b/>
          <w:bCs/>
          <w:color w:val="auto"/>
        </w:rPr>
        <w:t>Zasady udzielenia zdalnego dostępu do zasobów</w:t>
      </w:r>
    </w:p>
    <w:p>
      <w:pPr>
        <w:pStyle w:val="Normal"/>
        <w:spacing w:before="0" w:after="0"/>
        <w:jc w:val="both"/>
        <w:rPr>
          <w:rFonts w:cs="Calibri" w:cstheme="minorHAnsi"/>
          <w:color w:val="auto"/>
        </w:rPr>
      </w:pPr>
      <w:r>
        <w:rPr>
          <w:rFonts w:cs="Calibri" w:cstheme="minorHAnsi"/>
          <w:color w:val="auto"/>
        </w:rPr>
        <w:t>Niniejszy Dodatek ustala zasady udzielenia Wykonawcy zdalnego dostępu do zasobów sieci teleinformatycznej Zamawiającego w celu umożliwienia Wykonawcy realizacji jego zobowiązań wynikających z Umowy.</w:t>
      </w:r>
    </w:p>
    <w:p>
      <w:pPr>
        <w:pStyle w:val="Normal"/>
        <w:widowControl w:val="false"/>
        <w:numPr>
          <w:ilvl w:val="0"/>
          <w:numId w:val="34"/>
        </w:numPr>
        <w:suppressAutoHyphens w:val="true"/>
        <w:spacing w:before="0" w:after="0"/>
        <w:jc w:val="center"/>
        <w:rPr>
          <w:rFonts w:cs="Calibri" w:cstheme="minorHAnsi"/>
          <w:b/>
          <w:color w:val="auto"/>
        </w:rPr>
      </w:pPr>
      <w:r>
        <w:rPr>
          <w:rFonts w:cs="Calibri" w:cstheme="minorHAnsi"/>
          <w:b/>
          <w:color w:val="auto"/>
        </w:rPr>
        <w:t>Udostępnienie</w:t>
      </w:r>
    </w:p>
    <w:p>
      <w:pPr>
        <w:pStyle w:val="Normal"/>
        <w:widowControl w:val="false"/>
        <w:numPr>
          <w:ilvl w:val="0"/>
          <w:numId w:val="31"/>
        </w:numPr>
        <w:suppressAutoHyphens w:val="true"/>
        <w:spacing w:before="0" w:after="0"/>
        <w:ind w:hanging="357" w:left="357"/>
        <w:jc w:val="both"/>
        <w:rPr>
          <w:rFonts w:cs="Calibri" w:cstheme="minorHAnsi"/>
          <w:color w:val="auto"/>
        </w:rPr>
      </w:pPr>
      <w:r>
        <w:rPr>
          <w:rFonts w:cs="Calibri" w:cstheme="minorHAnsi"/>
          <w:color w:val="auto"/>
        </w:rPr>
        <w:t xml:space="preserve">W celu realizacji usług, o których mowa w § 2 Umowy, zdalny dostęp zostanie udostępniony Wykonawcy przez Zamawiającego niezwłocznie na wezwanie Wykonawcy w terminie szczegółowo uzgodnionym przez Strony. </w:t>
      </w:r>
    </w:p>
    <w:p>
      <w:pPr>
        <w:pStyle w:val="Normal"/>
        <w:widowControl w:val="false"/>
        <w:numPr>
          <w:ilvl w:val="0"/>
          <w:numId w:val="31"/>
        </w:numPr>
        <w:suppressAutoHyphens w:val="true"/>
        <w:spacing w:before="0" w:after="0"/>
        <w:ind w:hanging="357" w:left="357"/>
        <w:jc w:val="both"/>
        <w:rPr>
          <w:rFonts w:cs="Calibri" w:cstheme="minorHAnsi"/>
          <w:color w:val="auto"/>
        </w:rPr>
      </w:pPr>
      <w:r>
        <w:rPr>
          <w:rFonts w:cs="Calibri" w:cstheme="minorHAnsi"/>
          <w:color w:val="auto"/>
        </w:rPr>
        <w:t>Bezpośredni dostęp do systemów Zamawiającego jest możliwy tylko i wyłącznie po udostępnieniu go przez administratora Zamawiającego i po przekazaniu wymaganych uprawnień i haseł.</w:t>
      </w:r>
    </w:p>
    <w:p>
      <w:pPr>
        <w:pStyle w:val="Normal"/>
        <w:widowControl w:val="false"/>
        <w:numPr>
          <w:ilvl w:val="0"/>
          <w:numId w:val="31"/>
        </w:numPr>
        <w:suppressAutoHyphens w:val="true"/>
        <w:spacing w:before="0" w:after="0"/>
        <w:ind w:hanging="357" w:left="357"/>
        <w:jc w:val="both"/>
        <w:rPr>
          <w:rFonts w:cs="Calibri" w:cstheme="minorHAnsi"/>
          <w:color w:val="auto"/>
        </w:rPr>
      </w:pPr>
      <w:r>
        <w:rPr>
          <w:rFonts w:cs="Calibri" w:cstheme="minorHAnsi"/>
          <w:color w:val="auto"/>
        </w:rPr>
        <w:t>Zamawiający zapewni sprawne działanie zdalnego dostępu.</w:t>
      </w:r>
    </w:p>
    <w:p>
      <w:pPr>
        <w:pStyle w:val="Normal"/>
        <w:widowControl w:val="false"/>
        <w:suppressAutoHyphens w:val="true"/>
        <w:spacing w:before="0" w:after="0"/>
        <w:ind w:left="357"/>
        <w:jc w:val="both"/>
        <w:rPr>
          <w:rFonts w:cs="Calibri" w:cstheme="minorHAnsi"/>
          <w:color w:val="auto"/>
        </w:rPr>
      </w:pPr>
      <w:r>
        <w:rPr>
          <w:rFonts w:cs="Calibri" w:cstheme="minorHAnsi"/>
          <w:color w:val="auto"/>
        </w:rPr>
      </w:r>
    </w:p>
    <w:p>
      <w:pPr>
        <w:pStyle w:val="Normal"/>
        <w:widowControl w:val="false"/>
        <w:numPr>
          <w:ilvl w:val="0"/>
          <w:numId w:val="34"/>
        </w:numPr>
        <w:suppressAutoHyphens w:val="true"/>
        <w:spacing w:before="0" w:after="0"/>
        <w:jc w:val="center"/>
        <w:rPr>
          <w:rFonts w:cs="Calibri" w:cstheme="minorHAnsi"/>
          <w:b/>
          <w:color w:val="auto"/>
        </w:rPr>
      </w:pPr>
      <w:r>
        <w:rPr>
          <w:rFonts w:cs="Calibri" w:cstheme="minorHAnsi"/>
          <w:b/>
          <w:color w:val="auto"/>
        </w:rPr>
        <w:t xml:space="preserve">Zasady korzystania </w:t>
      </w:r>
    </w:p>
    <w:p>
      <w:pPr>
        <w:pStyle w:val="Normal"/>
        <w:widowControl w:val="false"/>
        <w:numPr>
          <w:ilvl w:val="0"/>
          <w:numId w:val="32"/>
        </w:numPr>
        <w:suppressAutoHyphens w:val="true"/>
        <w:spacing w:before="0" w:after="0"/>
        <w:ind w:hanging="357" w:left="360"/>
        <w:jc w:val="both"/>
        <w:rPr>
          <w:rFonts w:cs="Calibri" w:cstheme="minorHAnsi"/>
          <w:color w:val="auto"/>
        </w:rPr>
      </w:pPr>
      <w:r>
        <w:rPr>
          <w:rFonts w:cs="Calibri" w:cstheme="minorHAnsi"/>
          <w:color w:val="auto"/>
        </w:rPr>
        <w:t>Korzystając ze Zdalnego Dostępu Wykonawca:</w:t>
      </w:r>
    </w:p>
    <w:p>
      <w:pPr>
        <w:pStyle w:val="Normal"/>
        <w:widowControl w:val="false"/>
        <w:numPr>
          <w:ilvl w:val="1"/>
          <w:numId w:val="32"/>
        </w:numPr>
        <w:suppressAutoHyphens w:val="true"/>
        <w:spacing w:before="0" w:after="0"/>
        <w:ind w:hanging="357" w:left="1440"/>
        <w:jc w:val="both"/>
        <w:rPr>
          <w:rFonts w:cs="Calibri" w:cstheme="minorHAnsi"/>
          <w:color w:val="auto"/>
        </w:rPr>
      </w:pPr>
      <w:r>
        <w:rPr>
          <w:rFonts w:cs="Calibri" w:cstheme="minorHAnsi"/>
          <w:color w:val="auto"/>
        </w:rPr>
        <w:t>będzie wykorzystywał Zdalny Dostęp wyłącznie w celu realizacji Umowy;</w:t>
      </w:r>
    </w:p>
    <w:p>
      <w:pPr>
        <w:pStyle w:val="Normal"/>
        <w:widowControl w:val="false"/>
        <w:numPr>
          <w:ilvl w:val="1"/>
          <w:numId w:val="32"/>
        </w:numPr>
        <w:suppressAutoHyphens w:val="true"/>
        <w:spacing w:before="0" w:after="0"/>
        <w:ind w:hanging="357" w:left="1440"/>
        <w:jc w:val="both"/>
        <w:rPr>
          <w:rFonts w:cs="Calibri" w:cstheme="minorHAnsi"/>
          <w:color w:val="auto"/>
        </w:rPr>
      </w:pPr>
      <w:r>
        <w:rPr>
          <w:rFonts w:cs="Calibri" w:cstheme="minorHAnsi"/>
          <w:color w:val="auto"/>
        </w:rPr>
        <w:t xml:space="preserve">nie będzie pozyskiwał ani przetwarzał żadnych innych danych, za wyjątkiem danych niezbędnych do realizacji Umowy; </w:t>
      </w:r>
    </w:p>
    <w:p>
      <w:pPr>
        <w:pStyle w:val="Normal"/>
        <w:numPr>
          <w:ilvl w:val="0"/>
          <w:numId w:val="32"/>
        </w:numPr>
        <w:tabs>
          <w:tab w:val="clear" w:pos="708"/>
          <w:tab w:val="left" w:pos="426" w:leader="none"/>
        </w:tabs>
        <w:spacing w:before="0" w:after="0"/>
        <w:jc w:val="both"/>
        <w:rPr>
          <w:rFonts w:cs="Calibri" w:cstheme="minorHAnsi"/>
          <w:color w:val="auto"/>
        </w:rPr>
      </w:pPr>
      <w:r>
        <w:rPr>
          <w:rFonts w:cs="Calibri" w:cstheme="minorHAnsi"/>
          <w:color w:val="auto"/>
        </w:rPr>
        <w:t>Wykonawca może wnioskować o dane logowania tylko i wyłącznie dla osób upoważnionych do przetwarzania danych osobowych, powierzonych do przetwarzania na potrzeby należytej realizacji Umowy.</w:t>
      </w:r>
    </w:p>
    <w:p>
      <w:pPr>
        <w:pStyle w:val="Normal"/>
        <w:numPr>
          <w:ilvl w:val="0"/>
          <w:numId w:val="32"/>
        </w:numPr>
        <w:tabs>
          <w:tab w:val="clear" w:pos="708"/>
          <w:tab w:val="left" w:pos="426" w:leader="none"/>
        </w:tabs>
        <w:spacing w:before="0" w:after="0"/>
        <w:jc w:val="both"/>
        <w:rPr>
          <w:rFonts w:cs="Calibri" w:cstheme="minorHAnsi"/>
          <w:color w:val="auto"/>
        </w:rPr>
      </w:pPr>
      <w:r>
        <w:rPr>
          <w:rFonts w:cs="Calibri" w:cstheme="minorHAnsi"/>
          <w:color w:val="auto"/>
        </w:rPr>
        <w:t>Zabrania się Wykonawcy przekazywania danych logowania (login lub hasło) innym osobom niż osoby wskazane do realizacji Umowy.</w:t>
      </w:r>
    </w:p>
    <w:p>
      <w:pPr>
        <w:pStyle w:val="Normal"/>
        <w:widowControl w:val="false"/>
        <w:numPr>
          <w:ilvl w:val="0"/>
          <w:numId w:val="32"/>
        </w:numPr>
        <w:suppressAutoHyphens w:val="true"/>
        <w:spacing w:before="0" w:after="0"/>
        <w:jc w:val="both"/>
        <w:rPr>
          <w:rFonts w:cs="Calibri" w:cstheme="minorHAnsi"/>
          <w:color w:val="auto"/>
        </w:rPr>
      </w:pPr>
      <w:r>
        <w:rPr>
          <w:rFonts w:cs="Calibri" w:cstheme="minorHAnsi"/>
          <w:color w:val="auto"/>
        </w:rPr>
        <w:t xml:space="preserve">Zdalny dostęp udostępnia się do realizacji usług wynikających z Umowy. </w:t>
      </w:r>
    </w:p>
    <w:p>
      <w:pPr>
        <w:pStyle w:val="Normal"/>
        <w:widowControl w:val="false"/>
        <w:suppressAutoHyphens w:val="true"/>
        <w:spacing w:before="0" w:after="0"/>
        <w:jc w:val="both"/>
        <w:rPr>
          <w:rFonts w:cs="Calibri" w:cstheme="minorHAnsi"/>
          <w:color w:val="auto"/>
        </w:rPr>
      </w:pPr>
      <w:r>
        <w:rPr>
          <w:rFonts w:cs="Calibri" w:cstheme="minorHAnsi"/>
          <w:color w:val="auto"/>
        </w:rPr>
      </w:r>
    </w:p>
    <w:p>
      <w:pPr>
        <w:pStyle w:val="Normal"/>
        <w:widowControl w:val="false"/>
        <w:numPr>
          <w:ilvl w:val="0"/>
          <w:numId w:val="34"/>
        </w:numPr>
        <w:suppressAutoHyphens w:val="true"/>
        <w:spacing w:before="0" w:after="0"/>
        <w:jc w:val="center"/>
        <w:rPr>
          <w:rFonts w:cs="Calibri" w:cstheme="minorHAnsi"/>
          <w:b/>
          <w:color w:val="auto"/>
        </w:rPr>
      </w:pPr>
      <w:r>
        <w:rPr>
          <w:rFonts w:cs="Calibri" w:cstheme="minorHAnsi"/>
          <w:b/>
          <w:color w:val="auto"/>
        </w:rPr>
        <w:t>Warunki Techniczne do uzyskania Zdalnego Dostępu</w:t>
      </w:r>
    </w:p>
    <w:p>
      <w:pPr>
        <w:pStyle w:val="Normal"/>
        <w:widowControl w:val="false"/>
        <w:numPr>
          <w:ilvl w:val="0"/>
          <w:numId w:val="33"/>
        </w:numPr>
        <w:suppressAutoHyphens w:val="true"/>
        <w:spacing w:before="0" w:after="0"/>
        <w:ind w:hanging="357" w:left="360"/>
        <w:jc w:val="both"/>
        <w:rPr>
          <w:rFonts w:cs="Calibri" w:cstheme="minorHAnsi"/>
          <w:color w:val="auto"/>
        </w:rPr>
      </w:pPr>
      <w:r>
        <w:rPr>
          <w:rFonts w:cs="Calibri" w:cstheme="minorHAnsi"/>
          <w:color w:val="auto"/>
        </w:rPr>
        <w:t>Zamawiający zapewni jeden z czterech rodzajów połączeń:</w:t>
      </w:r>
    </w:p>
    <w:p>
      <w:pPr>
        <w:pStyle w:val="Normal"/>
        <w:widowControl w:val="false"/>
        <w:numPr>
          <w:ilvl w:val="1"/>
          <w:numId w:val="33"/>
        </w:numPr>
        <w:suppressAutoHyphens w:val="true"/>
        <w:spacing w:before="0" w:after="0"/>
        <w:ind w:hanging="357" w:left="1440"/>
        <w:jc w:val="both"/>
        <w:rPr>
          <w:rFonts w:cs="Calibri" w:cstheme="minorHAnsi"/>
          <w:color w:val="auto"/>
        </w:rPr>
      </w:pPr>
      <w:r>
        <w:rPr>
          <w:rFonts w:cs="Calibri" w:cstheme="minorHAnsi"/>
          <w:color w:val="auto"/>
        </w:rPr>
        <w:t>VPN - zapewni bezpieczny sposób komunikacji z siecią poprzez udostępnienie bezpiecznego kanału VPN;</w:t>
      </w:r>
    </w:p>
    <w:p>
      <w:pPr>
        <w:pStyle w:val="Normal"/>
        <w:widowControl w:val="false"/>
        <w:numPr>
          <w:ilvl w:val="1"/>
          <w:numId w:val="33"/>
        </w:numPr>
        <w:suppressAutoHyphens w:val="true"/>
        <w:spacing w:before="0" w:after="0"/>
        <w:ind w:hanging="357" w:left="1440"/>
        <w:jc w:val="both"/>
        <w:rPr>
          <w:rFonts w:cs="Calibri" w:cstheme="minorHAnsi"/>
          <w:color w:val="auto"/>
        </w:rPr>
      </w:pPr>
      <w:r>
        <w:rPr>
          <w:rFonts w:cs="Calibri" w:cstheme="minorHAnsi"/>
          <w:color w:val="auto"/>
        </w:rPr>
        <w:t>Udostępnienie terminala - zapewni bezpieczny sposób komunikacji z siecią poprzez udostępnienie bezpiecznego terminala;</w:t>
      </w:r>
    </w:p>
    <w:p>
      <w:pPr>
        <w:pStyle w:val="Normal"/>
        <w:widowControl w:val="false"/>
        <w:numPr>
          <w:ilvl w:val="1"/>
          <w:numId w:val="33"/>
        </w:numPr>
        <w:suppressAutoHyphens w:val="true"/>
        <w:spacing w:before="0" w:after="0"/>
        <w:ind w:hanging="357" w:left="1440"/>
        <w:jc w:val="both"/>
        <w:rPr>
          <w:rFonts w:cs="Calibri" w:cstheme="minorHAnsi"/>
          <w:color w:val="auto"/>
        </w:rPr>
      </w:pPr>
      <w:r>
        <w:rPr>
          <w:rFonts w:cs="Calibri" w:cstheme="minorHAnsi"/>
          <w:color w:val="auto"/>
        </w:rPr>
        <w:t>Udostępnienie portu do bazy danych – zapewni bezpieczny sposób komunikacji z siecią poprzez udostępnienie IP i portu pozwalającego na komunikację z bazą danych.</w:t>
      </w:r>
    </w:p>
    <w:p>
      <w:pPr>
        <w:pStyle w:val="Normal"/>
        <w:widowControl w:val="false"/>
        <w:numPr>
          <w:ilvl w:val="1"/>
          <w:numId w:val="33"/>
        </w:numPr>
        <w:suppressAutoHyphens w:val="true"/>
        <w:spacing w:before="0" w:after="0"/>
        <w:ind w:hanging="357" w:left="1440"/>
        <w:jc w:val="both"/>
        <w:rPr>
          <w:rFonts w:cs="Calibri" w:cstheme="minorHAnsi"/>
          <w:color w:val="auto"/>
        </w:rPr>
      </w:pPr>
      <w:r>
        <w:rPr>
          <w:rFonts w:cs="Calibri" w:cstheme="minorHAnsi"/>
          <w:color w:val="auto"/>
        </w:rPr>
        <w:t>Udostępnienie dostępu poprzez aplikację Team Viewer.</w:t>
      </w:r>
    </w:p>
    <w:p>
      <w:pPr>
        <w:pStyle w:val="Normal"/>
        <w:numPr>
          <w:ilvl w:val="0"/>
          <w:numId w:val="33"/>
        </w:numPr>
        <w:tabs>
          <w:tab w:val="clear" w:pos="708"/>
          <w:tab w:val="left" w:pos="426" w:leader="none"/>
        </w:tabs>
        <w:spacing w:before="0" w:after="0"/>
        <w:jc w:val="both"/>
        <w:rPr>
          <w:rFonts w:cs="" w:cstheme="minorBidi"/>
          <w:color w:val="auto"/>
        </w:rPr>
      </w:pPr>
      <w:r>
        <w:rPr>
          <w:rFonts w:cs="" w:cstheme="minorBidi"/>
          <w:color w:val="auto"/>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 haseł innym osobom oraz wykorzystywania dostępu wyłącznie w celu realizacji Umowy.</w:t>
      </w:r>
    </w:p>
    <w:p>
      <w:pPr>
        <w:pStyle w:val="Normal"/>
        <w:widowControl w:val="false"/>
        <w:numPr>
          <w:ilvl w:val="0"/>
          <w:numId w:val="33"/>
        </w:numPr>
        <w:suppressAutoHyphens w:val="true"/>
        <w:spacing w:before="0" w:after="0"/>
        <w:ind w:hanging="357" w:left="360"/>
        <w:jc w:val="both"/>
        <w:rPr>
          <w:rFonts w:cs="Calibri" w:cstheme="minorHAnsi"/>
          <w:caps/>
          <w:color w:val="auto"/>
        </w:rPr>
        <w:sectPr>
          <w:headerReference w:type="even" r:id="rId3"/>
          <w:headerReference w:type="default" r:id="rId4"/>
          <w:headerReference w:type="first" r:id="rId5"/>
          <w:footerReference w:type="even" r:id="rId6"/>
          <w:footerReference w:type="default" r:id="rId7"/>
          <w:footerReference w:type="first" r:id="rId8"/>
          <w:footnotePr>
            <w:numFmt w:val="decimal"/>
          </w:footnotePr>
          <w:type w:val="nextPage"/>
          <w:pgSz w:w="11906" w:h="16838"/>
          <w:pgMar w:left="1418" w:right="1134" w:gutter="0" w:header="1410" w:top="2730" w:footer="868" w:bottom="1134"/>
          <w:pgNumType w:fmt="decimal"/>
          <w:formProt w:val="false"/>
          <w:textDirection w:val="lrTb"/>
          <w:docGrid w:type="default" w:linePitch="360" w:charSpace="0"/>
        </w:sectPr>
      </w:pPr>
      <w:r>
        <w:rPr>
          <w:rFonts w:cs="Calibri" w:cstheme="minorHAnsi"/>
          <w:color w:val="auto"/>
        </w:rPr>
        <w:t xml:space="preserve">Wszystkie dane dotyczące parametrów logowania zostaną przekazane na indywidualne konta </w:t>
        <w:br/>
        <w:t>e-mail. Tą samą drogą dostarczone zostanie również oprogramowanie Klienta VPN lub klienta terminalowego. Oprogramowanie zostanie zainstalowane na komputerach użytkowników staraniem Wykonawcy. Parametry logowania mogą być także przekazane poprzez system CHD.</w:t>
      </w:r>
    </w:p>
    <w:p>
      <w:pPr>
        <w:pStyle w:val="Normal"/>
        <w:spacing w:before="0" w:after="0"/>
        <w:jc w:val="center"/>
        <w:rPr>
          <w:rFonts w:cs="Calibri" w:cstheme="minorHAnsi"/>
          <w:b/>
          <w:bCs/>
          <w:color w:val="auto"/>
        </w:rPr>
      </w:pPr>
      <w:r>
        <w:rPr>
          <w:rFonts w:cs="Calibri" w:cstheme="minorHAnsi"/>
          <w:b/>
          <w:bCs/>
          <w:color w:val="auto"/>
        </w:rPr>
        <w:t>DODATEK NR 2 DO ZAŁĄCZNIKA NR 3</w:t>
      </w:r>
    </w:p>
    <w:p>
      <w:pPr>
        <w:pStyle w:val="Normal"/>
        <w:spacing w:before="0" w:after="0"/>
        <w:ind w:left="284"/>
        <w:jc w:val="center"/>
        <w:rPr>
          <w:rFonts w:cs="Calibri" w:cstheme="minorHAnsi"/>
          <w:b/>
          <w:bCs/>
          <w:color w:val="auto"/>
        </w:rPr>
      </w:pPr>
      <w:r>
        <w:rPr>
          <w:rFonts w:cs="Calibri" w:cstheme="minorHAnsi"/>
          <w:b/>
          <w:bCs/>
          <w:color w:val="auto"/>
        </w:rPr>
        <w:t>Informacje o Zamawiającym</w:t>
      </w:r>
    </w:p>
    <w:p>
      <w:pPr>
        <w:pStyle w:val="Normal"/>
        <w:spacing w:before="0" w:after="0"/>
        <w:ind w:firstLine="360"/>
        <w:rPr>
          <w:rFonts w:cs="Calibri" w:cstheme="minorHAnsi"/>
          <w:color w:val="auto"/>
        </w:rPr>
      </w:pPr>
      <w:r>
        <w:rPr>
          <w:rFonts w:cs="Calibri" w:cstheme="minorHAnsi"/>
          <w:color w:val="auto"/>
        </w:rPr>
      </w:r>
    </w:p>
    <w:p>
      <w:pPr>
        <w:pStyle w:val="Normal"/>
        <w:spacing w:before="0" w:after="0"/>
        <w:ind w:firstLine="360" w:left="180"/>
        <w:rPr>
          <w:rFonts w:cs="Calibri" w:cstheme="minorHAnsi"/>
          <w:b/>
          <w:bCs/>
          <w:color w:val="auto"/>
        </w:rPr>
      </w:pPr>
      <w:r>
        <w:rPr>
          <w:rFonts w:cs="Calibri" w:cstheme="minorHAnsi"/>
          <w:b/>
          <w:bCs/>
          <w:color w:val="auto"/>
        </w:rPr>
        <w:t>Dane Zamawiającego:</w:t>
      </w:r>
    </w:p>
    <w:tbl>
      <w:tblPr>
        <w:tblW w:w="14034" w:type="dxa"/>
        <w:jc w:val="left"/>
        <w:tblInd w:w="70" w:type="dxa"/>
        <w:tblLayout w:type="fixed"/>
        <w:tblCellMar>
          <w:top w:w="0" w:type="dxa"/>
          <w:left w:w="70" w:type="dxa"/>
          <w:bottom w:w="0" w:type="dxa"/>
          <w:right w:w="70" w:type="dxa"/>
        </w:tblCellMar>
        <w:tblLook w:firstRow="1" w:noVBand="0" w:lastRow="0" w:firstColumn="1" w:lastColumn="0" w:noHBand="0" w:val="00a0"/>
      </w:tblPr>
      <w:tblGrid>
        <w:gridCol w:w="3849"/>
        <w:gridCol w:w="10185"/>
      </w:tblGrid>
      <w:tr>
        <w:trPr>
          <w:trHeight w:val="223" w:hRule="atLeast"/>
        </w:trPr>
        <w:tc>
          <w:tcPr>
            <w:tcW w:w="3849" w:type="dxa"/>
            <w:tcBorders>
              <w:bottom w:val="single" w:sz="4" w:space="0" w:color="000000"/>
              <w:right w:val="single" w:sz="4" w:space="0" w:color="000000"/>
            </w:tcBorders>
            <w:vAlign w:val="center"/>
          </w:tcPr>
          <w:p>
            <w:pPr>
              <w:pStyle w:val="Normal"/>
              <w:spacing w:before="0" w:after="0"/>
              <w:ind w:left="180"/>
              <w:rPr>
                <w:rFonts w:cs="Calibri" w:cstheme="minorHAnsi"/>
                <w:b/>
                <w:bCs/>
                <w:color w:val="auto"/>
              </w:rPr>
            </w:pPr>
            <w:r>
              <w:rPr>
                <w:rFonts w:cs="Calibri" w:cstheme="minorHAnsi"/>
                <w:b/>
                <w:bCs/>
                <w:color w:val="auto"/>
              </w:rPr>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jc w:val="center"/>
              <w:rPr>
                <w:rFonts w:cs="Calibri" w:cstheme="minorHAnsi"/>
                <w:b/>
                <w:bCs/>
                <w:color w:val="auto"/>
              </w:rPr>
            </w:pPr>
            <w:r>
              <w:rPr>
                <w:rFonts w:cs="Calibri" w:cstheme="minorHAnsi"/>
                <w:b/>
                <w:bCs/>
                <w:color w:val="auto"/>
              </w:rPr>
              <w:t>Dane:</w:t>
            </w:r>
          </w:p>
        </w:tc>
      </w:tr>
      <w:tr>
        <w:trPr>
          <w:trHeight w:val="223"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Nazwa jednostki:</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Adres:</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23"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Główny adres e-mail Zamawiającego*:</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23"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Akceptacja dostarczania informacji dotyczących pakietu Oprogramowania Aplikacyjnego na w/w adres e-mail (TAK/NIE):</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jc w:val="center"/>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Nr telefonu:</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Nr faksu:</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NIP</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REGON</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Wpis do KRS prowadzonego przez:</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KRS</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r>
        <w:trPr>
          <w:trHeight w:val="238" w:hRule="atLeast"/>
        </w:trPr>
        <w:tc>
          <w:tcPr>
            <w:tcW w:w="384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t>Adres WWW:</w:t>
            </w:r>
          </w:p>
        </w:tc>
        <w:tc>
          <w:tcPr>
            <w:tcW w:w="1018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ind w:left="180"/>
              <w:rPr>
                <w:rFonts w:cs="Calibri" w:cstheme="minorHAnsi"/>
                <w:bCs/>
                <w:color w:val="auto"/>
              </w:rPr>
            </w:pPr>
            <w:r>
              <w:rPr>
                <w:rFonts w:cs="Calibri" w:cstheme="minorHAnsi"/>
                <w:bCs/>
                <w:color w:val="auto"/>
              </w:rPr>
            </w:r>
          </w:p>
        </w:tc>
      </w:tr>
    </w:tbl>
    <w:p>
      <w:pPr>
        <w:pStyle w:val="Normal"/>
        <w:spacing w:before="0" w:after="0"/>
        <w:ind w:firstLine="360" w:left="180"/>
        <w:rPr>
          <w:rFonts w:cs="Calibri" w:cstheme="minorHAnsi"/>
          <w:color w:val="auto"/>
        </w:rPr>
      </w:pPr>
      <w:r>
        <w:rPr>
          <w:rFonts w:cs="Calibri" w:cstheme="minorHAnsi"/>
          <w:color w:val="auto"/>
        </w:rPr>
      </w:r>
    </w:p>
    <w:p>
      <w:pPr>
        <w:pStyle w:val="Normal"/>
        <w:spacing w:before="0" w:after="0"/>
        <w:ind w:left="180"/>
        <w:rPr>
          <w:rFonts w:cs="Calibri" w:cstheme="minorHAnsi"/>
          <w:bCs/>
          <w:color w:val="auto"/>
        </w:rPr>
      </w:pPr>
      <w:r>
        <w:rPr>
          <w:rFonts w:cs="Calibri" w:cstheme="minorHAnsi"/>
          <w:bCs/>
          <w:color w:val="auto"/>
        </w:rPr>
      </w:r>
      <w:r>
        <w:br w:type="page"/>
      </w:r>
    </w:p>
    <w:p>
      <w:pPr>
        <w:pStyle w:val="Normal"/>
        <w:spacing w:before="0" w:after="0"/>
        <w:ind w:left="180"/>
        <w:rPr>
          <w:rFonts w:cs="Calibri" w:cstheme="minorHAnsi"/>
          <w:b/>
          <w:bCs/>
          <w:color w:val="auto"/>
        </w:rPr>
      </w:pPr>
      <w:r>
        <w:rPr>
          <w:rFonts w:cs="Calibri" w:cstheme="minorHAnsi"/>
          <w:b/>
          <w:bCs/>
          <w:color w:val="auto"/>
        </w:rPr>
        <w:t>Osoby upoważnione do administrowania użytkownikami CHD ze Strony Zamawiającego:</w:t>
      </w:r>
    </w:p>
    <w:p>
      <w:pPr>
        <w:pStyle w:val="Normal"/>
        <w:spacing w:before="0" w:after="0"/>
        <w:ind w:left="180"/>
        <w:rPr>
          <w:rFonts w:cs="Calibri" w:cstheme="minorHAnsi"/>
          <w:b/>
          <w:bCs/>
          <w:color w:val="auto"/>
        </w:rPr>
      </w:pPr>
      <w:r>
        <w:rPr>
          <w:rFonts w:cs="Calibri" w:cstheme="minorHAnsi"/>
          <w:b/>
          <w:bCs/>
          <w:color w:val="auto"/>
        </w:rPr>
      </w:r>
    </w:p>
    <w:p>
      <w:pPr>
        <w:pStyle w:val="Normal"/>
        <w:spacing w:before="0" w:after="0"/>
        <w:ind w:left="180"/>
        <w:rPr>
          <w:rFonts w:cs="Calibri" w:cstheme="minorHAnsi"/>
          <w:bCs/>
          <w:vanish/>
          <w:color w:val="auto"/>
        </w:rPr>
      </w:pPr>
      <w:r>
        <w:rPr>
          <w:rFonts w:cs="Calibri" w:cstheme="minorHAnsi"/>
          <w:bCs/>
          <w:vanish/>
          <w:color w:val="auto"/>
        </w:rPr>
      </w:r>
    </w:p>
    <w:tbl>
      <w:tblPr>
        <w:tblW w:w="13183" w:type="dxa"/>
        <w:jc w:val="center"/>
        <w:tblInd w:w="0" w:type="dxa"/>
        <w:tblLayout w:type="fixed"/>
        <w:tblCellMar>
          <w:top w:w="0" w:type="dxa"/>
          <w:left w:w="70" w:type="dxa"/>
          <w:bottom w:w="0" w:type="dxa"/>
          <w:right w:w="70" w:type="dxa"/>
        </w:tblCellMar>
        <w:tblLook w:firstRow="1" w:noVBand="0" w:lastRow="0" w:firstColumn="1" w:lastColumn="0" w:noHBand="0" w:val="00a0"/>
      </w:tblPr>
      <w:tblGrid>
        <w:gridCol w:w="1268"/>
        <w:gridCol w:w="1276"/>
        <w:gridCol w:w="1521"/>
        <w:gridCol w:w="1888"/>
        <w:gridCol w:w="1823"/>
        <w:gridCol w:w="2289"/>
        <w:gridCol w:w="1276"/>
        <w:gridCol w:w="1842"/>
      </w:tblGrid>
      <w:tr>
        <w:trPr/>
        <w:tc>
          <w:tcPr>
            <w:tcW w:w="1268"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TYTUL</w:t>
            </w:r>
          </w:p>
        </w:tc>
        <w:tc>
          <w:tcPr>
            <w:tcW w:w="1276"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IMIONA</w:t>
            </w:r>
          </w:p>
        </w:tc>
        <w:tc>
          <w:tcPr>
            <w:tcW w:w="1521"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NAZWISKO</w:t>
            </w:r>
          </w:p>
        </w:tc>
        <w:tc>
          <w:tcPr>
            <w:tcW w:w="1888"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STANOWISKO</w:t>
            </w:r>
          </w:p>
        </w:tc>
        <w:tc>
          <w:tcPr>
            <w:tcW w:w="1823"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TELEFON KOM.</w:t>
            </w:r>
          </w:p>
        </w:tc>
        <w:tc>
          <w:tcPr>
            <w:tcW w:w="2289"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E_MAIL</w:t>
            </w:r>
          </w:p>
        </w:tc>
        <w:tc>
          <w:tcPr>
            <w:tcW w:w="1276"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ADM_CHD</w:t>
            </w:r>
          </w:p>
        </w:tc>
        <w:tc>
          <w:tcPr>
            <w:tcW w:w="1842"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b/>
                <w:bCs/>
                <w:color w:val="auto"/>
              </w:rPr>
            </w:pPr>
            <w:r>
              <w:rPr>
                <w:rFonts w:cs="Calibri" w:cstheme="minorHAnsi"/>
                <w:b/>
                <w:bCs/>
                <w:color w:val="auto"/>
              </w:rPr>
              <w:t>KOD_OSOBY</w:t>
            </w:r>
          </w:p>
        </w:tc>
      </w:tr>
      <w:tr>
        <w:trPr/>
        <w:tc>
          <w:tcPr>
            <w:tcW w:w="1268"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521"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888"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823"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2289"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842"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r>
      <w:tr>
        <w:trPr/>
        <w:tc>
          <w:tcPr>
            <w:tcW w:w="1268"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521"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888"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823"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2289"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276"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c>
          <w:tcPr>
            <w:tcW w:w="1842" w:type="dxa"/>
            <w:tcBorders>
              <w:top w:val="single" w:sz="6" w:space="0" w:color="000000"/>
              <w:left w:val="single" w:sz="6" w:space="0" w:color="000000"/>
              <w:bottom w:val="single" w:sz="6" w:space="0" w:color="000000"/>
              <w:right w:val="single" w:sz="6" w:space="0" w:color="000000"/>
            </w:tcBorders>
          </w:tcPr>
          <w:p>
            <w:pPr>
              <w:pStyle w:val="Normal"/>
              <w:spacing w:before="0" w:after="0"/>
              <w:rPr>
                <w:rFonts w:cs="Calibri" w:cstheme="minorHAnsi"/>
                <w:color w:val="auto"/>
              </w:rPr>
            </w:pPr>
            <w:r>
              <w:rPr>
                <w:rFonts w:cs="Calibri" w:cstheme="minorHAnsi"/>
                <w:color w:val="auto"/>
              </w:rPr>
            </w:r>
          </w:p>
        </w:tc>
      </w:tr>
    </w:tbl>
    <w:p>
      <w:pPr>
        <w:pStyle w:val="Normal"/>
        <w:spacing w:before="0" w:after="0"/>
        <w:ind w:left="180"/>
        <w:rPr>
          <w:rFonts w:cs="Calibri" w:cstheme="minorHAnsi"/>
          <w:bCs/>
          <w:color w:val="auto"/>
          <w:u w:val="single"/>
        </w:rPr>
      </w:pPr>
      <w:r>
        <w:rPr>
          <w:rFonts w:cs="Calibri" w:cstheme="minorHAnsi"/>
          <w:bCs/>
          <w:color w:val="auto"/>
          <w:u w:val="single"/>
        </w:rPr>
      </w:r>
    </w:p>
    <w:p>
      <w:pPr>
        <w:pStyle w:val="Normal"/>
        <w:spacing w:before="0" w:after="0"/>
        <w:ind w:left="180"/>
        <w:rPr>
          <w:rFonts w:cs="Calibri" w:cstheme="minorHAnsi"/>
          <w:bCs/>
          <w:color w:val="auto"/>
          <w:u w:val="single"/>
        </w:rPr>
      </w:pPr>
      <w:r>
        <w:rPr>
          <w:rFonts w:cs="Calibri" w:cstheme="minorHAnsi"/>
          <w:bCs/>
          <w:color w:val="auto"/>
          <w:u w:val="single"/>
        </w:rPr>
        <w:t>Legenda:</w:t>
      </w:r>
    </w:p>
    <w:p>
      <w:pPr>
        <w:pStyle w:val="Normal"/>
        <w:spacing w:before="0" w:after="0"/>
        <w:ind w:left="180"/>
        <w:rPr>
          <w:rFonts w:cs="Calibri" w:cstheme="minorHAnsi"/>
          <w:bCs/>
          <w:color w:val="auto"/>
        </w:rPr>
      </w:pPr>
      <w:r>
        <w:rPr>
          <w:rFonts w:cs="Calibri" w:cstheme="minorHAnsi"/>
          <w:bCs/>
          <w:color w:val="auto"/>
        </w:rPr>
        <w:t>e-mail -indywidualny służbowy adres pracownika,</w:t>
      </w:r>
    </w:p>
    <w:p>
      <w:pPr>
        <w:pStyle w:val="Normal"/>
        <w:spacing w:before="0" w:after="0"/>
        <w:ind w:left="180"/>
        <w:jc w:val="both"/>
        <w:rPr>
          <w:rFonts w:cs="Calibri" w:cstheme="minorHAnsi"/>
          <w:bCs/>
          <w:color w:val="auto"/>
        </w:rPr>
      </w:pPr>
      <w:r>
        <w:rPr>
          <w:rFonts w:cs="Calibri" w:cstheme="minorHAnsi"/>
          <w:bCs/>
          <w:color w:val="auto"/>
        </w:rPr>
        <w:t>Adm_CHD- osoba uprawniona do administrowania w imieniu Zamawiającego użytkownikami CHD uprawnionymi do rejestrowania i obsługi zgłoszeń, koordynowania obsługi zgłoszeń i udostępniania baz danych dla systemów dostarczanych przez Wykonawcę (wartości: TAK/NIE),</w:t>
      </w:r>
    </w:p>
    <w:p>
      <w:pPr>
        <w:pStyle w:val="Normal"/>
        <w:spacing w:before="0" w:after="0"/>
        <w:ind w:left="180"/>
        <w:jc w:val="both"/>
        <w:rPr>
          <w:rFonts w:cs="Calibri" w:cstheme="minorHAnsi"/>
          <w:bCs/>
          <w:color w:val="auto"/>
        </w:rPr>
      </w:pPr>
      <w:r>
        <w:rPr>
          <w:rFonts w:cs="Calibri" w:cstheme="minorHAnsi"/>
          <w:bCs/>
          <w:color w:val="auto"/>
        </w:rPr>
        <w:t xml:space="preserve">Kod_Osoby </w:t>
        <w:tab/>
        <w:t>- identyfikator przydzielany przez administratora Systemu CHD po stronie Wykonawcy – przydziela Wykonawca.</w:t>
      </w:r>
    </w:p>
    <w:p>
      <w:pPr>
        <w:pStyle w:val="Normal"/>
        <w:spacing w:before="0" w:after="0"/>
        <w:ind w:left="180"/>
        <w:jc w:val="both"/>
        <w:rPr>
          <w:rFonts w:cs="Calibri" w:cstheme="minorHAnsi"/>
          <w:bCs/>
          <w:color w:val="auto"/>
        </w:rPr>
      </w:pPr>
      <w:r>
        <w:rPr>
          <w:rFonts w:cs="Calibri" w:cstheme="minorHAnsi"/>
          <w:bCs/>
          <w:color w:val="auto"/>
        </w:rPr>
      </w:r>
    </w:p>
    <w:p>
      <w:pPr>
        <w:pStyle w:val="Normal"/>
        <w:spacing w:before="0" w:after="0"/>
        <w:ind w:left="180"/>
        <w:jc w:val="both"/>
        <w:rPr>
          <w:rFonts w:cs="Calibri" w:cstheme="minorHAnsi"/>
          <w:b/>
          <w:bCs/>
          <w:color w:val="auto"/>
        </w:rPr>
      </w:pPr>
      <w:r>
        <w:rPr>
          <w:rFonts w:cs="Calibri" w:cstheme="minorHAnsi"/>
          <w:b/>
          <w:bCs/>
          <w:color w:val="auto"/>
        </w:rPr>
        <w:t>Uwaga ! Ważne !</w:t>
      </w:r>
    </w:p>
    <w:p>
      <w:pPr>
        <w:pStyle w:val="Normal"/>
        <w:spacing w:before="0" w:after="0"/>
        <w:ind w:left="180"/>
        <w:jc w:val="both"/>
        <w:rPr>
          <w:rFonts w:cs="Calibri" w:cstheme="minorHAnsi"/>
          <w:bCs/>
          <w:color w:val="auto"/>
        </w:rPr>
      </w:pPr>
      <w:r>
        <w:rPr>
          <w:rFonts w:cs="Calibri" w:cstheme="minorHAnsi"/>
          <w:bCs/>
          <w:color w:val="auto"/>
        </w:rPr>
        <w:t>Bardzo prosimy o podanie indywidualnych służbowych adresów e-mail dla każdego pracownika zaangażowanego w przesyłanie zgłoszeń.</w:t>
      </w:r>
    </w:p>
    <w:p>
      <w:pPr>
        <w:pStyle w:val="Normal"/>
        <w:spacing w:before="0" w:after="0"/>
        <w:ind w:left="180"/>
        <w:jc w:val="both"/>
        <w:rPr>
          <w:rFonts w:cs="Calibri" w:cstheme="minorHAnsi"/>
          <w:b/>
          <w:color w:val="auto"/>
        </w:rPr>
      </w:pPr>
      <w:r>
        <w:rPr>
          <w:rFonts w:cs="Calibri" w:cstheme="minorHAnsi"/>
          <w:b/>
          <w:color w:val="auto"/>
        </w:rPr>
        <w:t xml:space="preserve">Maksymalnie można wskazać 2 osoby ADM_CHD. </w:t>
      </w:r>
    </w:p>
    <w:p>
      <w:pPr>
        <w:pStyle w:val="Normal"/>
        <w:spacing w:before="0" w:after="0"/>
        <w:ind w:left="180"/>
        <w:jc w:val="both"/>
        <w:rPr>
          <w:rFonts w:cs="Calibri" w:cstheme="minorHAnsi"/>
          <w:bCs/>
          <w:color w:val="auto"/>
        </w:rPr>
      </w:pPr>
      <w:r>
        <w:rPr>
          <w:rFonts w:cs="Calibri" w:cstheme="minorHAnsi"/>
          <w:bCs/>
          <w:color w:val="auto"/>
        </w:rPr>
        <w:t>W przypadku zmian na liście osób upoważnionych do administrowania użytkownikami ADM_CHD, Zamawiający ma obowiązek poinformować Wykonawcę poprzez przesłanie zaktualizowanego Dodatku nr 2 do Załącznika nr 3.</w:t>
      </w:r>
    </w:p>
    <w:p>
      <w:pPr>
        <w:pStyle w:val="Normal"/>
        <w:spacing w:before="0" w:after="0"/>
        <w:ind w:left="180"/>
        <w:jc w:val="both"/>
        <w:rPr>
          <w:rFonts w:cs="Calibri" w:cstheme="minorHAnsi"/>
          <w:bCs/>
          <w:color w:val="auto"/>
        </w:rPr>
      </w:pPr>
      <w:r>
        <w:rPr>
          <w:rFonts w:cs="Calibri" w:cstheme="minorHAnsi"/>
          <w:bCs/>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sz w:val="20"/>
          <w:szCs w:val="20"/>
        </w:rPr>
      </w:pPr>
      <w:r>
        <w:rPr>
          <w:rFonts w:cs="Calibri" w:cstheme="minorHAnsi"/>
          <w:color w:val="auto"/>
          <w:sz w:val="20"/>
          <w:szCs w:val="20"/>
        </w:rPr>
        <w:t xml:space="preserve">Zamawiający wyraża zgodę na przetwarzanie podanego powyżej Głównego adresu e-mail Zamawiającego przez Wykonawcę w celach marketingowych, w tym również w celu marketingu bezpośredniego </w:t>
      </w:r>
      <w:bookmarkStart w:id="21" w:name="_Hlk15459204"/>
      <w:r>
        <w:rPr>
          <w:rFonts w:cs="Calibri" w:cstheme="minorHAnsi"/>
          <w:color w:val="auto"/>
          <w:sz w:val="20"/>
          <w:szCs w:val="20"/>
        </w:rPr>
        <w:t>oraz na doręczanie korespondencji za pomocą środków komunikacji elektronicznej w rozumieniu przepisów ustawy z dnia 18 lipca 2002 r. o świadczeniu usług drogą elektroniczną</w:t>
      </w:r>
      <w:bookmarkEnd w:id="21"/>
      <w:r>
        <w:rPr>
          <w:rFonts w:cs="Calibri" w:cstheme="minorHAnsi"/>
          <w:color w:val="auto"/>
          <w:sz w:val="20"/>
          <w:szCs w:val="20"/>
        </w:rPr>
        <w:t>.</w:t>
      </w:r>
    </w:p>
    <w:p>
      <w:pPr>
        <w:pStyle w:val="Normal"/>
        <w:spacing w:before="0" w:after="0"/>
        <w:jc w:val="both"/>
        <w:rPr>
          <w:rFonts w:cs="Calibri" w:cstheme="minorHAnsi"/>
          <w:color w:val="auto"/>
          <w:sz w:val="20"/>
          <w:szCs w:val="20"/>
        </w:rPr>
      </w:pPr>
      <w:r>
        <w:rPr>
          <w:rFonts w:cs="Calibri" w:cstheme="minorHAnsi"/>
          <w:color w:val="auto"/>
          <w:sz w:val="20"/>
          <w:szCs w:val="20"/>
        </w:rPr>
        <w:t>Powyższa zgoda może być wycofana przez Zamawiającego w każdym czasie, w sposób wolny od opłat.</w:t>
      </w:r>
    </w:p>
    <w:p>
      <w:pPr>
        <w:pStyle w:val="Normal"/>
        <w:spacing w:before="0" w:after="0"/>
        <w:jc w:val="both"/>
        <w:rPr>
          <w:rFonts w:cs="Calibri" w:cstheme="minorHAnsi"/>
          <w:color w:val="auto"/>
        </w:rPr>
      </w:pPr>
      <w:r>
        <w:rPr>
          <w:rFonts w:cs="Calibri" w:cstheme="minorHAnsi"/>
          <w:color w:val="auto"/>
        </w:rPr>
      </w:r>
    </w:p>
    <w:p>
      <w:pPr>
        <w:pStyle w:val="Normal"/>
        <w:spacing w:before="0" w:after="0"/>
        <w:jc w:val="center"/>
        <w:rPr>
          <w:rFonts w:eastAsia="Times New Roman" w:cs="Calibri" w:cstheme="minorHAnsi"/>
          <w:b/>
          <w:color w:val="auto"/>
          <w:lang w:eastAsia="ar-SA"/>
        </w:rPr>
        <w:sectPr>
          <w:headerReference w:type="even" r:id="rId9"/>
          <w:headerReference w:type="default" r:id="rId10"/>
          <w:headerReference w:type="first" r:id="rId11"/>
          <w:footerReference w:type="even" r:id="rId12"/>
          <w:footerReference w:type="default" r:id="rId13"/>
          <w:footerReference w:type="first" r:id="rId14"/>
          <w:footnotePr>
            <w:numFmt w:val="decimal"/>
          </w:footnotePr>
          <w:type w:val="nextPage"/>
          <w:pgSz w:orient="landscape" w:w="16838" w:h="11906"/>
          <w:pgMar w:left="1134" w:right="1412" w:gutter="0" w:header="0" w:top="1418" w:footer="868" w:bottom="1134"/>
          <w:pgNumType w:fmt="decimal"/>
          <w:formProt w:val="false"/>
          <w:textDirection w:val="lrTb"/>
          <w:docGrid w:type="default" w:linePitch="360" w:charSpace="0"/>
        </w:sectPr>
      </w:pPr>
      <w:r>
        <w:rPr>
          <w:rFonts w:cs="Calibri" w:cstheme="minorHAnsi"/>
          <w:b/>
          <w:color w:val="auto"/>
        </w:rPr>
        <w:t>Zamawiający:</w:t>
        <w:tab/>
        <w:tab/>
        <w:tab/>
        <w:tab/>
        <w:tab/>
        <w:tab/>
        <w:tab/>
        <w:tab/>
        <w:t>Wykonawca</w:t>
      </w:r>
      <w:bookmarkStart w:id="22" w:name="_Hlk114812998"/>
      <w:bookmarkEnd w:id="22"/>
    </w:p>
    <w:p>
      <w:pPr>
        <w:pStyle w:val="Normal"/>
        <w:spacing w:before="0" w:after="0"/>
        <w:jc w:val="center"/>
        <w:rPr>
          <w:rFonts w:cs="Calibri" w:cstheme="minorHAnsi"/>
          <w:b/>
          <w:color w:val="auto"/>
        </w:rPr>
      </w:pPr>
      <w:r>
        <w:rPr>
          <w:rFonts w:cs="Calibri" w:cstheme="minorHAnsi"/>
          <w:b/>
          <w:bCs/>
          <w:color w:val="auto"/>
        </w:rPr>
        <w:t>DODATEK NR 3 DO ZAŁĄCZNIKA NR 3</w:t>
      </w:r>
    </w:p>
    <w:p>
      <w:pPr>
        <w:pStyle w:val="Normal"/>
        <w:spacing w:before="0" w:after="0"/>
        <w:rPr>
          <w:rFonts w:cs="Calibri" w:cstheme="minorHAnsi"/>
          <w:bCs/>
          <w:color w:val="auto"/>
        </w:rPr>
      </w:pPr>
      <w:r>
        <w:rPr>
          <w:rFonts w:cs="Calibri" w:cstheme="minorHAnsi"/>
          <w:bCs/>
          <w:color w:val="auto"/>
        </w:rPr>
      </w:r>
    </w:p>
    <w:p>
      <w:pPr>
        <w:pStyle w:val="Normal"/>
        <w:spacing w:before="0" w:after="0"/>
        <w:jc w:val="center"/>
        <w:rPr>
          <w:rFonts w:cs="Calibri" w:cstheme="minorHAnsi"/>
          <w:b/>
          <w:color w:val="auto"/>
        </w:rPr>
      </w:pPr>
      <w:r>
        <w:rPr>
          <w:rFonts w:cs="Calibri" w:cstheme="minorHAnsi"/>
          <w:b/>
          <w:color w:val="auto"/>
        </w:rPr>
        <w:t>WARUNKI PRZYJMOWANIA I OBSŁUGI ZGŁOSZEŃ PODATNOŚCI BEZPIECZEŃSTWA OPROGRAMOWANIA APLIKACYJNEGO</w:t>
      </w:r>
    </w:p>
    <w:p>
      <w:pPr>
        <w:pStyle w:val="Normal"/>
        <w:spacing w:before="0" w:after="0"/>
        <w:rPr>
          <w:rFonts w:cs="Calibri" w:cstheme="minorHAnsi"/>
          <w:bCs/>
          <w:color w:val="auto"/>
        </w:rPr>
      </w:pPr>
      <w:r>
        <w:rPr>
          <w:rFonts w:cs="Calibri" w:cstheme="minorHAnsi"/>
          <w:bCs/>
          <w:color w:val="auto"/>
        </w:rPr>
      </w:r>
    </w:p>
    <w:p>
      <w:pPr>
        <w:pStyle w:val="Normal"/>
        <w:spacing w:before="0" w:after="0"/>
        <w:jc w:val="center"/>
        <w:rPr>
          <w:rFonts w:cs="Calibri" w:cstheme="minorHAnsi"/>
          <w:bCs/>
          <w:color w:val="auto"/>
        </w:rPr>
      </w:pPr>
      <w:r>
        <w:rPr>
          <w:rFonts w:cs="Calibri" w:cstheme="minorHAnsi"/>
          <w:bCs/>
          <w:color w:val="auto"/>
        </w:rPr>
        <w:t>§ 1. Definicje</w:t>
      </w:r>
    </w:p>
    <w:p>
      <w:pPr>
        <w:pStyle w:val="Normal"/>
        <w:spacing w:before="0" w:after="0"/>
        <w:jc w:val="both"/>
        <w:rPr>
          <w:rFonts w:cs="Calibri" w:cstheme="minorHAnsi"/>
          <w:bCs/>
          <w:color w:val="auto"/>
        </w:rPr>
      </w:pPr>
      <w:r>
        <w:rPr>
          <w:rFonts w:cs="Calibri" w:cstheme="minorHAnsi"/>
          <w:bCs/>
          <w:color w:val="auto"/>
        </w:rPr>
        <w:t>1. Podatność – słabość potwierdzona przez Wykonawcę w Oprogramowaniu Aplikacyjnym, podlegająca procesowi zarządzania zgodnie z niniejszymi Warunkami.</w:t>
      </w:r>
    </w:p>
    <w:p>
      <w:pPr>
        <w:pStyle w:val="Normal"/>
        <w:spacing w:before="0" w:after="0"/>
        <w:jc w:val="both"/>
        <w:rPr>
          <w:rFonts w:cs="Calibri" w:cstheme="minorHAnsi"/>
          <w:bCs/>
          <w:color w:val="auto"/>
        </w:rPr>
      </w:pPr>
      <w:r>
        <w:rPr>
          <w:rFonts w:cs="Calibri" w:cstheme="minorHAnsi"/>
          <w:bCs/>
          <w:color w:val="auto"/>
        </w:rPr>
        <w:t>2. Klasyfikacja – ocena techniczna i biznesowa ryzyka dokonana przez Wykonawcę na podstawie CVSS.</w:t>
      </w:r>
    </w:p>
    <w:p>
      <w:pPr>
        <w:pStyle w:val="Normal"/>
        <w:spacing w:before="0" w:after="0"/>
        <w:jc w:val="both"/>
        <w:rPr>
          <w:rFonts w:cs="Calibri" w:cstheme="minorHAnsi"/>
          <w:bCs/>
          <w:color w:val="auto"/>
        </w:rPr>
      </w:pPr>
      <w:r>
        <w:rPr>
          <w:rFonts w:cs="Calibri" w:cstheme="minorHAnsi"/>
          <w:bCs/>
          <w:color w:val="auto"/>
        </w:rPr>
        <w:t>3. Warunki – niniejszy dokument.</w:t>
      </w:r>
    </w:p>
    <w:p>
      <w:pPr>
        <w:pStyle w:val="Normal"/>
        <w:spacing w:before="0" w:after="0"/>
        <w:jc w:val="center"/>
        <w:rPr>
          <w:rFonts w:cs="Calibri" w:cstheme="minorHAnsi"/>
          <w:bCs/>
          <w:color w:val="auto"/>
        </w:rPr>
      </w:pPr>
      <w:r>
        <w:rPr>
          <w:rFonts w:cs="Calibri" w:cstheme="minorHAnsi"/>
          <w:bCs/>
          <w:color w:val="auto"/>
        </w:rPr>
        <w:t>§ 2. Postanowienia ogólne</w:t>
      </w:r>
    </w:p>
    <w:p>
      <w:pPr>
        <w:pStyle w:val="Normal"/>
        <w:spacing w:before="0" w:after="0"/>
        <w:jc w:val="both"/>
        <w:rPr>
          <w:rFonts w:cs="Calibri" w:cstheme="minorHAnsi"/>
          <w:bCs/>
          <w:color w:val="auto"/>
        </w:rPr>
      </w:pPr>
      <w:r>
        <w:rPr>
          <w:rFonts w:cs="Calibri" w:cstheme="minorHAnsi"/>
          <w:bCs/>
          <w:color w:val="auto"/>
        </w:rPr>
        <w:t>1. Warunki określają zasady przyjmowania i obsługi zgłoszeń podatności bezpieczeństwa dotyczących Oprogramowania Aplikacyjnego.</w:t>
      </w:r>
    </w:p>
    <w:p>
      <w:pPr>
        <w:pStyle w:val="Normal"/>
        <w:spacing w:before="0" w:after="0"/>
        <w:jc w:val="both"/>
        <w:rPr>
          <w:rFonts w:cs="Calibri" w:cstheme="minorHAnsi"/>
          <w:bCs/>
          <w:color w:val="auto"/>
        </w:rPr>
      </w:pPr>
      <w:r>
        <w:rPr>
          <w:rFonts w:cs="Calibri" w:cstheme="minorHAnsi"/>
          <w:bCs/>
          <w:color w:val="auto"/>
        </w:rPr>
        <w:t>2. Zamawiający przyjmuje Warunki w całości także poprzez dokonanie zgłoszenia podatności w systemie obsługi zgłoszeń (CHD).</w:t>
      </w:r>
    </w:p>
    <w:p>
      <w:pPr>
        <w:pStyle w:val="Normal"/>
        <w:spacing w:before="0" w:after="0"/>
        <w:jc w:val="both"/>
        <w:rPr>
          <w:rFonts w:cs="Calibri" w:cstheme="minorHAnsi"/>
          <w:bCs/>
          <w:color w:val="auto"/>
        </w:rPr>
      </w:pPr>
      <w:r>
        <w:rPr>
          <w:rFonts w:cs="Calibri" w:cstheme="minorHAnsi"/>
          <w:bCs/>
          <w:color w:val="auto"/>
        </w:rPr>
        <w:t>3. Wykonawca zastrzega sobie prawo do zmiany Warunków poprzez ich publikację w systemie CHD lub na Portalu Produktowo-Usługowym. Zmienione Warunki obowiązują od dnia publikacji.</w:t>
      </w:r>
    </w:p>
    <w:p>
      <w:pPr>
        <w:pStyle w:val="Normal"/>
        <w:spacing w:before="0" w:after="0"/>
        <w:jc w:val="both"/>
        <w:rPr>
          <w:rFonts w:cs="Calibri" w:cstheme="minorHAnsi"/>
          <w:bCs/>
          <w:color w:val="auto"/>
        </w:rPr>
      </w:pPr>
      <w:r>
        <w:rPr>
          <w:rFonts w:cs="Calibri" w:cstheme="minorHAnsi"/>
          <w:bCs/>
          <w:color w:val="auto"/>
        </w:rPr>
        <w:t>§ 3. Zasady przyjmowania zgłoszeń</w:t>
      </w:r>
    </w:p>
    <w:p>
      <w:pPr>
        <w:pStyle w:val="Normal"/>
        <w:spacing w:before="0" w:after="0"/>
        <w:jc w:val="both"/>
        <w:rPr>
          <w:rFonts w:cs="Calibri" w:cstheme="minorHAnsi"/>
          <w:bCs/>
          <w:color w:val="auto"/>
        </w:rPr>
      </w:pPr>
      <w:r>
        <w:rPr>
          <w:rFonts w:cs="Calibri" w:cstheme="minorHAnsi"/>
          <w:bCs/>
          <w:color w:val="auto"/>
        </w:rPr>
        <w:t>1. Zgłoszenia przyjmowane są wyłącznie poprzez system CHD, w ramach obowiązującej Umowy.</w:t>
      </w:r>
    </w:p>
    <w:p>
      <w:pPr>
        <w:pStyle w:val="Normal"/>
        <w:spacing w:before="0" w:after="0"/>
        <w:jc w:val="both"/>
        <w:rPr>
          <w:rFonts w:cs="Calibri" w:cstheme="minorHAnsi"/>
          <w:bCs/>
          <w:color w:val="auto"/>
        </w:rPr>
      </w:pPr>
      <w:r>
        <w:rPr>
          <w:rFonts w:cs="Calibri" w:cstheme="minorHAnsi"/>
          <w:bCs/>
          <w:color w:val="auto"/>
        </w:rPr>
        <w:t>2. Zgłoszenie powinno zawierać co najmniej:</w:t>
      </w:r>
    </w:p>
    <w:p>
      <w:pPr>
        <w:pStyle w:val="Normal"/>
        <w:spacing w:before="0" w:after="0"/>
        <w:jc w:val="both"/>
        <w:rPr>
          <w:rFonts w:cs="Calibri" w:cstheme="minorHAnsi"/>
          <w:bCs/>
          <w:color w:val="auto"/>
        </w:rPr>
      </w:pPr>
      <w:r>
        <w:rPr>
          <w:rFonts w:cs="Calibri" w:cstheme="minorHAnsi"/>
          <w:bCs/>
          <w:color w:val="auto"/>
        </w:rPr>
        <w:t>a) opis zidentyfikowanej podatności,</w:t>
      </w:r>
    </w:p>
    <w:p>
      <w:pPr>
        <w:pStyle w:val="Normal"/>
        <w:spacing w:before="0" w:after="0"/>
        <w:jc w:val="both"/>
        <w:rPr>
          <w:rFonts w:cs="Calibri" w:cstheme="minorHAnsi"/>
          <w:bCs/>
          <w:color w:val="auto"/>
        </w:rPr>
      </w:pPr>
      <w:r>
        <w:rPr>
          <w:rFonts w:cs="Calibri" w:cstheme="minorHAnsi"/>
          <w:bCs/>
          <w:color w:val="auto"/>
        </w:rPr>
        <w:t>b) wersję Oprogramowania Aplikacyjnego, w której występuje podatność,</w:t>
      </w:r>
    </w:p>
    <w:p>
      <w:pPr>
        <w:pStyle w:val="Normal"/>
        <w:spacing w:before="0" w:after="0"/>
        <w:jc w:val="both"/>
        <w:rPr>
          <w:rFonts w:cs="Calibri" w:cstheme="minorHAnsi"/>
          <w:bCs/>
          <w:color w:val="auto"/>
        </w:rPr>
      </w:pPr>
      <w:r>
        <w:rPr>
          <w:rFonts w:cs="Calibri" w:cstheme="minorHAnsi"/>
          <w:bCs/>
          <w:color w:val="auto"/>
        </w:rPr>
        <w:t>c) ocenę wstępną w skali CVSS wraz z wektorem ataku (Base Score),</w:t>
      </w:r>
    </w:p>
    <w:p>
      <w:pPr>
        <w:pStyle w:val="Normal"/>
        <w:spacing w:before="0" w:after="0"/>
        <w:jc w:val="both"/>
        <w:rPr>
          <w:rFonts w:cs="Calibri" w:cstheme="minorHAnsi"/>
          <w:bCs/>
          <w:color w:val="auto"/>
        </w:rPr>
      </w:pPr>
      <w:r>
        <w:rPr>
          <w:rFonts w:cs="Calibri" w:cstheme="minorHAnsi"/>
          <w:bCs/>
          <w:color w:val="auto"/>
        </w:rPr>
        <w:t>d) materiał dowodowy umożliwiający odtworzenie podatności (np. logi, zrzuty ekranów, opis kroków),</w:t>
      </w:r>
    </w:p>
    <w:p>
      <w:pPr>
        <w:pStyle w:val="Normal"/>
        <w:spacing w:before="0" w:after="0"/>
        <w:jc w:val="both"/>
        <w:rPr>
          <w:rFonts w:cs="Calibri" w:cstheme="minorHAnsi"/>
          <w:bCs/>
          <w:color w:val="auto"/>
        </w:rPr>
      </w:pPr>
      <w:r>
        <w:rPr>
          <w:rFonts w:cs="Calibri" w:cstheme="minorHAnsi"/>
          <w:bCs/>
          <w:color w:val="auto"/>
        </w:rPr>
        <w:t>e) inne istotne informacje, dotyczące zgłaszanej podatności, które wykluczają wystąpienie tej podatności z przyczyn leżących po stronie innej niż Oprogramowanie Aplikacyjne.</w:t>
      </w:r>
    </w:p>
    <w:p>
      <w:pPr>
        <w:pStyle w:val="Normal"/>
        <w:spacing w:before="0" w:after="0"/>
        <w:jc w:val="both"/>
        <w:rPr>
          <w:rFonts w:cs="Calibri" w:cstheme="minorHAnsi"/>
          <w:bCs/>
          <w:color w:val="auto"/>
        </w:rPr>
      </w:pPr>
      <w:r>
        <w:rPr>
          <w:rFonts w:cs="Calibri" w:cstheme="minorHAnsi"/>
          <w:bCs/>
          <w:color w:val="auto"/>
        </w:rPr>
        <w:t>3. Zgłoszenia niekompletne mogą zostać odrzucone lub pozostawione bez rozpoznania do czasu ich uzupełnienia. O odrzuceniu lub pozostawieniu bez rozpoznania Wykonawca informuje Zamawiającego.</w:t>
      </w:r>
    </w:p>
    <w:p>
      <w:pPr>
        <w:pStyle w:val="Normal"/>
        <w:spacing w:before="0" w:after="0"/>
        <w:jc w:val="center"/>
        <w:rPr>
          <w:rFonts w:cs="Calibri" w:cstheme="minorHAnsi"/>
          <w:bCs/>
          <w:color w:val="auto"/>
        </w:rPr>
      </w:pPr>
      <w:r>
        <w:rPr>
          <w:rFonts w:cs="Calibri" w:cstheme="minorHAnsi"/>
          <w:bCs/>
          <w:color w:val="auto"/>
        </w:rPr>
        <w:t>§ 4. Klasyfikacja podatności</w:t>
      </w:r>
    </w:p>
    <w:p>
      <w:pPr>
        <w:pStyle w:val="Normal"/>
        <w:spacing w:before="0" w:after="0"/>
        <w:jc w:val="both"/>
        <w:rPr>
          <w:rFonts w:cs="Calibri" w:cstheme="minorHAnsi"/>
          <w:bCs/>
          <w:color w:val="auto"/>
        </w:rPr>
      </w:pPr>
      <w:r>
        <w:rPr>
          <w:rFonts w:cs="Calibri" w:cstheme="minorHAnsi"/>
          <w:bCs/>
          <w:color w:val="auto"/>
        </w:rPr>
        <w:t>1. Wykonawca każdorazowo weryfikuje klasyfikację wstępną nadaną przez Zamawiającego zgodnie z systemem CVSS.</w:t>
      </w:r>
    </w:p>
    <w:p>
      <w:pPr>
        <w:pStyle w:val="Normal"/>
        <w:spacing w:before="0" w:after="0"/>
        <w:jc w:val="both"/>
        <w:rPr>
          <w:rFonts w:cs="Calibri" w:cstheme="minorHAnsi"/>
          <w:bCs/>
          <w:color w:val="auto"/>
        </w:rPr>
      </w:pPr>
      <w:r>
        <w:rPr>
          <w:rFonts w:cs="Calibri" w:cstheme="minorHAnsi"/>
          <w:bCs/>
          <w:color w:val="auto"/>
        </w:rPr>
        <w:t>2. Wykonawca zastrzega sobie prawo do zmiany wstępnej klasyfikacji, w tym do nadania innej oceny punktowej lub kategorii ważkości (np. krytyczna, wysoka, średnia, niska, fałszywie pozytywna).</w:t>
      </w:r>
    </w:p>
    <w:p>
      <w:pPr>
        <w:pStyle w:val="Normal"/>
        <w:spacing w:before="0" w:after="0"/>
        <w:jc w:val="both"/>
        <w:rPr>
          <w:rFonts w:cs="Calibri" w:cstheme="minorHAnsi"/>
          <w:bCs/>
          <w:color w:val="auto"/>
        </w:rPr>
      </w:pPr>
      <w:r>
        <w:rPr>
          <w:rFonts w:cs="Calibri" w:cstheme="minorHAnsi"/>
          <w:bCs/>
          <w:color w:val="auto"/>
        </w:rPr>
        <w:t>3. Za fałszywie pozytywne zgłoszenie uznaje się m.in. wynik niepowtarzalny lub zależny wyłącznie od konfiguracji środowiska Zamawiającego niebędącej częścią Oprogramowania Aplikacyjnego. Zgłoszenia niepotwierdzone jako podatność przez Wykonawcę są zamykane jako niezasadne.</w:t>
      </w:r>
    </w:p>
    <w:p>
      <w:pPr>
        <w:pStyle w:val="Normal"/>
        <w:spacing w:before="0" w:after="0"/>
        <w:jc w:val="both"/>
        <w:rPr>
          <w:rFonts w:cs="Calibri" w:cstheme="minorHAnsi"/>
          <w:bCs/>
          <w:color w:val="auto"/>
        </w:rPr>
      </w:pPr>
      <w:r>
        <w:rPr>
          <w:rFonts w:cs="Calibri" w:cstheme="minorHAnsi"/>
          <w:bCs/>
          <w:color w:val="auto"/>
        </w:rPr>
        <w:t>4. Brak potwierdzenia lub brak zmiany klasyfikacji przez Wykonawcę nie stanowi potwierdzenia oceny Zamawiającego, a jedynie oznacza, że zgłoszenie zostało przyjęte do weryfikacji.</w:t>
      </w:r>
    </w:p>
    <w:p>
      <w:pPr>
        <w:pStyle w:val="Normal"/>
        <w:spacing w:before="0" w:after="0"/>
        <w:jc w:val="both"/>
        <w:rPr>
          <w:rFonts w:cs="Calibri" w:cstheme="minorHAnsi"/>
          <w:bCs/>
          <w:color w:val="auto"/>
        </w:rPr>
      </w:pPr>
      <w:r>
        <w:rPr>
          <w:rFonts w:cs="Calibri" w:cstheme="minorHAnsi"/>
          <w:bCs/>
          <w:color w:val="auto"/>
        </w:rPr>
        <w:t>5. W przypadku, gdy zmiana klasyfikacji ma istotny wpływ na sposób dalszej obsługi podatności, Wykonawca może poinformować o tym Zamawiającego poprzez system CHD lub publikację komunikatu.</w:t>
      </w:r>
    </w:p>
    <w:p>
      <w:pPr>
        <w:pStyle w:val="Normal"/>
        <w:spacing w:before="0" w:after="0"/>
        <w:jc w:val="both"/>
        <w:rPr>
          <w:rFonts w:cs="Calibri" w:cstheme="minorHAnsi"/>
          <w:bCs/>
          <w:color w:val="auto"/>
        </w:rPr>
      </w:pPr>
      <w:r>
        <w:rPr>
          <w:rFonts w:cs="Calibri" w:cstheme="minorHAnsi"/>
          <w:bCs/>
          <w:color w:val="auto"/>
        </w:rPr>
        <w:t>6. Zgłoszenie podatności przez Zamawiającego nie ogranicza jego prawa do niezależnego powiadomienia krajowego lub sektorowego zespołu reagowania na incydenty bezpieczeństwa (CSIRT).</w:t>
      </w:r>
    </w:p>
    <w:p>
      <w:pPr>
        <w:pStyle w:val="Normal"/>
        <w:spacing w:before="0" w:after="0"/>
        <w:jc w:val="center"/>
        <w:rPr>
          <w:rFonts w:cs="Calibri" w:cstheme="minorHAnsi"/>
          <w:bCs/>
          <w:color w:val="auto"/>
        </w:rPr>
      </w:pPr>
      <w:r>
        <w:rPr>
          <w:rFonts w:cs="Calibri" w:cstheme="minorHAnsi"/>
          <w:bCs/>
          <w:color w:val="auto"/>
        </w:rPr>
        <w:t>§ 5. Obsługa podatności</w:t>
      </w:r>
    </w:p>
    <w:p>
      <w:pPr>
        <w:pStyle w:val="Normal"/>
        <w:spacing w:before="0" w:after="0"/>
        <w:jc w:val="both"/>
        <w:rPr>
          <w:rFonts w:cs="Calibri" w:cstheme="minorHAnsi"/>
          <w:bCs/>
          <w:color w:val="auto"/>
        </w:rPr>
      </w:pPr>
      <w:r>
        <w:rPr>
          <w:rFonts w:cs="Calibri" w:cstheme="minorHAnsi"/>
          <w:bCs/>
          <w:color w:val="auto"/>
        </w:rPr>
        <w:t>1. Obsługa zgłoszeń Podatności odbywa się w ramach prac podejmowanych przez Wykonawcę w ramach Umowy.</w:t>
      </w:r>
    </w:p>
    <w:p>
      <w:pPr>
        <w:pStyle w:val="Normal"/>
        <w:spacing w:before="0" w:after="0"/>
        <w:jc w:val="both"/>
        <w:rPr>
          <w:rFonts w:cs="Calibri" w:cstheme="minorHAnsi"/>
          <w:bCs/>
          <w:color w:val="auto"/>
        </w:rPr>
      </w:pPr>
      <w:r>
        <w:rPr>
          <w:rFonts w:cs="Calibri" w:cstheme="minorHAnsi"/>
          <w:bCs/>
          <w:color w:val="auto"/>
        </w:rPr>
        <w:t>2. Podatności potwierdzone przez Wykonawcę są korygowane, redukowane lub objęte środkami mitygującymi w ramach cyklu rozwoju i utrzymania Oprogramowania Aplikacyjnego.</w:t>
      </w:r>
    </w:p>
    <w:p>
      <w:pPr>
        <w:pStyle w:val="Normal"/>
        <w:spacing w:before="0" w:after="0"/>
        <w:jc w:val="both"/>
        <w:rPr>
          <w:rFonts w:cs="Calibri" w:cstheme="minorHAnsi"/>
          <w:bCs/>
          <w:color w:val="auto"/>
        </w:rPr>
      </w:pPr>
      <w:r>
        <w:rPr>
          <w:rFonts w:cs="Calibri" w:cstheme="minorHAnsi"/>
          <w:bCs/>
          <w:color w:val="auto"/>
        </w:rPr>
        <w:t>3. Wybór sposobu postępowania z podatnością (usunięcie, redukcja, mitygacja) należy wyłącznie do Wykonawcy. Wykonawca nie gwarantuje możliwości całkowitego wyeliminowania każdej podatności.</w:t>
      </w:r>
    </w:p>
    <w:p>
      <w:pPr>
        <w:pStyle w:val="Normal"/>
        <w:spacing w:before="0" w:after="0"/>
        <w:jc w:val="both"/>
        <w:rPr>
          <w:rFonts w:cs="Calibri" w:cstheme="minorHAnsi"/>
          <w:bCs/>
          <w:color w:val="auto"/>
        </w:rPr>
      </w:pPr>
      <w:r>
        <w:rPr>
          <w:rFonts w:cs="Calibri" w:cstheme="minorHAnsi"/>
          <w:bCs/>
          <w:color w:val="auto"/>
        </w:rPr>
        <w:t>4. Wykonawca nie udziela odrębnych gwarancji czasowych ani nie wprowadza nowych parametrów SLA w zakresie obsługi zgłoszeń podatności.</w:t>
      </w:r>
    </w:p>
    <w:p>
      <w:pPr>
        <w:pStyle w:val="Normal"/>
        <w:spacing w:before="0" w:after="0"/>
        <w:jc w:val="both"/>
        <w:rPr>
          <w:rFonts w:cs="Calibri" w:cstheme="minorHAnsi"/>
          <w:bCs/>
          <w:color w:val="auto"/>
        </w:rPr>
      </w:pPr>
      <w:r>
        <w:rPr>
          <w:rFonts w:cs="Calibri" w:cstheme="minorHAnsi"/>
          <w:bCs/>
          <w:color w:val="auto"/>
        </w:rPr>
        <w:t>5. W przypadku Podatności wymagającej głębszej ingerencji w architekturę systemu, Wykonawca może zaproponować rozwiązanie w ramach modyfikacji oprogramowania lub wskazać środki tymczasowe (mitygacyjne).</w:t>
      </w:r>
    </w:p>
    <w:p>
      <w:pPr>
        <w:pStyle w:val="Normal"/>
        <w:spacing w:before="0" w:after="0"/>
        <w:jc w:val="both"/>
        <w:rPr>
          <w:rFonts w:cs="Calibri" w:cstheme="minorHAnsi"/>
          <w:bCs/>
          <w:color w:val="auto"/>
        </w:rPr>
      </w:pPr>
      <w:r>
        <w:rPr>
          <w:rFonts w:cs="Calibri" w:cstheme="minorHAnsi"/>
          <w:bCs/>
          <w:color w:val="auto"/>
        </w:rPr>
        <w:t>6. Zamawiający zobowiązany jest wdrożyć środki mitygujące po stronie swojej infrastruktury zgodnie z komunikatami Wykonawcy. Brak wdrożenia wymaganych mitygacji może skutkować zmianą klasyfikacji ryzyka po stronie Wykonawcy lub zamknięciem Zgłoszenia.</w:t>
      </w:r>
    </w:p>
    <w:p>
      <w:pPr>
        <w:pStyle w:val="Normal"/>
        <w:spacing w:before="0" w:after="0"/>
        <w:jc w:val="both"/>
        <w:rPr>
          <w:rFonts w:cs="Calibri" w:cstheme="minorHAnsi"/>
          <w:bCs/>
          <w:color w:val="auto"/>
        </w:rPr>
      </w:pPr>
      <w:r>
        <w:rPr>
          <w:rFonts w:cs="Calibri" w:cstheme="minorHAnsi"/>
          <w:bCs/>
          <w:color w:val="auto"/>
        </w:rPr>
        <w:t>7. Zgłoszenia, które po weryfikacji nie potwierdzą istnienia podatności, mogą zostać zamknięte z odpowiednim uzasadnieniem.</w:t>
      </w:r>
    </w:p>
    <w:p>
      <w:pPr>
        <w:pStyle w:val="Normal"/>
        <w:spacing w:before="0" w:after="0"/>
        <w:jc w:val="center"/>
        <w:rPr>
          <w:rFonts w:cs="Calibri" w:cstheme="minorHAnsi"/>
          <w:bCs/>
          <w:color w:val="auto"/>
        </w:rPr>
      </w:pPr>
      <w:r>
        <w:rPr>
          <w:rFonts w:cs="Calibri" w:cstheme="minorHAnsi"/>
          <w:bCs/>
          <w:color w:val="auto"/>
        </w:rPr>
        <w:t>§ 6. Informowanie o rozwiązanych podatnościach</w:t>
      </w:r>
    </w:p>
    <w:p>
      <w:pPr>
        <w:pStyle w:val="Normal"/>
        <w:spacing w:before="0" w:after="0"/>
        <w:jc w:val="both"/>
        <w:rPr>
          <w:rFonts w:cs="Calibri" w:cstheme="minorHAnsi"/>
          <w:bCs/>
          <w:color w:val="auto"/>
        </w:rPr>
      </w:pPr>
      <w:r>
        <w:rPr>
          <w:rFonts w:cs="Calibri" w:cstheme="minorHAnsi"/>
          <w:bCs/>
          <w:color w:val="auto"/>
        </w:rPr>
        <w:t>1. Informacje o usuniętych lub zredukowanych podatnościach, wraz z zaleceniami dotyczącymi zabezpieczenia systemów oraz informacjami o zmianach w Oprogramowaniu Aplikacyjnym, publikowane będą cyklicznie przez Wykonawcę w systemie CHD lub na Portalu Produktowo-Usługowym.</w:t>
      </w:r>
    </w:p>
    <w:p>
      <w:pPr>
        <w:pStyle w:val="Normal"/>
        <w:spacing w:before="0" w:after="0"/>
        <w:jc w:val="both"/>
        <w:rPr>
          <w:rFonts w:cs="Calibri" w:cstheme="minorHAnsi"/>
          <w:bCs/>
          <w:color w:val="auto"/>
        </w:rPr>
      </w:pPr>
      <w:r>
        <w:rPr>
          <w:rFonts w:cs="Calibri" w:cstheme="minorHAnsi"/>
          <w:bCs/>
          <w:color w:val="auto"/>
        </w:rPr>
        <w:t>2. Wykonawca może łączyć publikację tych informacji z komunikatami o nowych wersjach Oprogramowania Aplikacyjnego lub poprawkach serwisowych.</w:t>
      </w:r>
    </w:p>
    <w:p>
      <w:pPr>
        <w:pStyle w:val="Normal"/>
        <w:spacing w:before="0" w:after="0"/>
        <w:jc w:val="both"/>
        <w:rPr>
          <w:rFonts w:cs="Calibri" w:cstheme="minorHAnsi"/>
          <w:bCs/>
          <w:color w:val="auto"/>
        </w:rPr>
      </w:pPr>
      <w:r>
        <w:rPr>
          <w:rFonts w:cs="Calibri" w:cstheme="minorHAnsi"/>
          <w:bCs/>
          <w:color w:val="auto"/>
        </w:rPr>
        <w:t>3. Informacje te mogą mieć charakter zbiorczy i nie muszą odnosić się do konkretnych zgłoszeń Zamawiającego.</w:t>
      </w:r>
    </w:p>
    <w:p>
      <w:pPr>
        <w:pStyle w:val="Normal"/>
        <w:spacing w:before="0" w:after="0"/>
        <w:jc w:val="center"/>
        <w:rPr>
          <w:rFonts w:cs="Calibri" w:cstheme="minorHAnsi"/>
          <w:bCs/>
          <w:color w:val="auto"/>
        </w:rPr>
      </w:pPr>
      <w:r>
        <w:rPr>
          <w:rFonts w:cs="Calibri" w:cstheme="minorHAnsi"/>
          <w:bCs/>
          <w:color w:val="auto"/>
        </w:rPr>
        <w:t>§ 7. Postanowienia końcowe</w:t>
      </w:r>
    </w:p>
    <w:p>
      <w:pPr>
        <w:pStyle w:val="Normal"/>
        <w:spacing w:before="0" w:after="0"/>
        <w:jc w:val="both"/>
        <w:rPr>
          <w:rFonts w:cs="Calibri" w:cstheme="minorHAnsi"/>
          <w:bCs/>
          <w:color w:val="auto"/>
        </w:rPr>
      </w:pPr>
      <w:r>
        <w:rPr>
          <w:rFonts w:cs="Calibri" w:cstheme="minorHAnsi"/>
          <w:bCs/>
          <w:color w:val="auto"/>
        </w:rPr>
        <w:t>1. Niniejsze Warunki nie modyfikują zasad odpowiedzialności stron wynikających z Umowy.</w:t>
      </w:r>
    </w:p>
    <w:p>
      <w:pPr>
        <w:pStyle w:val="Normal"/>
        <w:spacing w:before="0" w:after="0"/>
        <w:jc w:val="both"/>
        <w:rPr>
          <w:rFonts w:cs="Calibri" w:cstheme="minorHAnsi"/>
          <w:bCs/>
          <w:color w:val="auto"/>
        </w:rPr>
      </w:pPr>
      <w:r>
        <w:rPr>
          <w:rFonts w:cs="Calibri" w:cstheme="minorHAnsi"/>
          <w:bCs/>
          <w:color w:val="auto"/>
        </w:rPr>
        <w:t>2. Publikacje dotyczące bezpieczeństwa Oprogramowania Aplikacyjnego (CVE, blogi, advisories) powinny być realizowane wyłącznie przez Wykonawcę lub za jego pisemną zgodą i po uzgodnieniu treści oraz terminu.</w:t>
      </w:r>
    </w:p>
    <w:p>
      <w:pPr>
        <w:pStyle w:val="Normal"/>
        <w:spacing w:before="0" w:after="0"/>
        <w:jc w:val="both"/>
        <w:rPr>
          <w:rFonts w:cs="Calibri" w:cstheme="minorHAnsi"/>
          <w:bCs/>
          <w:color w:val="auto"/>
        </w:rPr>
      </w:pPr>
      <w:r>
        <w:rPr>
          <w:rFonts w:cs="Calibri" w:cstheme="minorHAnsi"/>
          <w:bCs/>
          <w:color w:val="auto"/>
        </w:rPr>
        <w:t>3. Wszelkie kwestie nieuregulowane niniejszym dokumentem podlegają postanowieniom obowiązującej Umowy.</w:t>
      </w:r>
    </w:p>
    <w:p>
      <w:pPr>
        <w:pStyle w:val="Normal"/>
        <w:spacing w:before="0" w:after="0"/>
        <w:jc w:val="both"/>
        <w:rPr>
          <w:rFonts w:cs="Calibri" w:cstheme="minorHAnsi"/>
          <w:bCs/>
          <w:color w:val="auto"/>
        </w:rPr>
      </w:pPr>
      <w:r>
        <w:rPr>
          <w:rFonts w:cs="Calibri" w:cstheme="minorHAnsi"/>
          <w:bCs/>
          <w:color w:val="auto"/>
        </w:rPr>
        <w:t>4. W przypadku rozbieżności między Umową a niniejszymi Warunkami, pierwszeństwo mają postanowienia Umowy.</w:t>
      </w:r>
    </w:p>
    <w:p>
      <w:pPr>
        <w:pStyle w:val="Normal"/>
        <w:spacing w:before="0" w:after="0"/>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color w:val="auto"/>
        </w:rPr>
      </w:pPr>
      <w:r>
        <w:rPr>
          <w:rFonts w:cs="Calibri" w:cstheme="minorHAnsi"/>
          <w:b/>
          <w:color w:val="auto"/>
        </w:rPr>
        <w:t>ZAŁĄCZNIK NR 4</w:t>
      </w:r>
    </w:p>
    <w:p>
      <w:pPr>
        <w:pStyle w:val="Normal"/>
        <w:spacing w:before="0" w:after="0"/>
        <w:jc w:val="center"/>
        <w:rPr>
          <w:rFonts w:cs="Calibri" w:cstheme="minorHAnsi"/>
          <w:b/>
          <w:color w:val="auto"/>
        </w:rPr>
      </w:pPr>
      <w:r>
        <w:rPr>
          <w:rFonts w:cs="Calibri" w:cstheme="minorHAnsi"/>
          <w:b/>
          <w:color w:val="auto"/>
        </w:rPr>
        <w:t>LICENCJA</w:t>
      </w:r>
    </w:p>
    <w:p>
      <w:pPr>
        <w:pStyle w:val="Normal"/>
        <w:spacing w:before="0" w:after="0"/>
        <w:jc w:val="center"/>
        <w:rPr>
          <w:rFonts w:cs="Calibri" w:cstheme="minorHAnsi"/>
          <w:b/>
          <w:color w:val="auto"/>
        </w:rPr>
      </w:pPr>
      <w:r>
        <w:rPr>
          <w:rFonts w:cs="Calibri" w:cstheme="minorHAnsi"/>
          <w:b/>
          <w:color w:val="auto"/>
        </w:rPr>
      </w:r>
    </w:p>
    <w:p>
      <w:pPr>
        <w:pStyle w:val="NormalWeb"/>
        <w:numPr>
          <w:ilvl w:val="0"/>
          <w:numId w:val="10"/>
        </w:numPr>
        <w:shd w:val="clear" w:color="auto" w:fill="FFFFFF" w:themeFill="background1"/>
        <w:spacing w:lineRule="auto" w:line="276" w:beforeAutospacing="0" w:before="0" w:afterAutospacing="0" w:after="0"/>
        <w:jc w:val="both"/>
        <w:rPr>
          <w:rFonts w:ascii="Calibri" w:hAnsi="Calibri" w:cs="Calibri" w:asciiTheme="minorHAnsi" w:cstheme="minorHAnsi" w:hAnsiTheme="minorHAnsi"/>
          <w:color w:val="EE0000"/>
          <w:sz w:val="22"/>
          <w:szCs w:val="22"/>
        </w:rPr>
      </w:pPr>
      <w:r>
        <w:rPr>
          <w:rFonts w:cs="" w:ascii="Calibri" w:hAnsi="Calibri" w:asciiTheme="minorHAnsi" w:cstheme="minorBidi" w:hAnsiTheme="minorHAnsi"/>
          <w:color w:val="auto"/>
          <w:sz w:val="22"/>
          <w:szCs w:val="22"/>
        </w:rPr>
        <w:t xml:space="preserve">Wykonawca udziela Zamawiającemu z chwilą Odbioru Przedmiotu Umowy nieprzenoszalnego, bezterminowego prawa (licencji) na korzystanie z Oprogramowania Aplikacyjnego. Korzystać z Oprogramowania Aplikacyjnego Zamawiający może </w:t>
      </w:r>
      <w:r>
        <w:rPr>
          <w:rFonts w:cs="Calibri" w:ascii="Calibri" w:hAnsi="Calibri" w:asciiTheme="minorHAnsi" w:cstheme="minorHAnsi" w:hAnsiTheme="minorHAnsi"/>
          <w:color w:val="auto"/>
          <w:sz w:val="22"/>
          <w:szCs w:val="22"/>
        </w:rPr>
        <w:t xml:space="preserve">jedynie w celu związanym z prowadzeniem działalności gospodarczej w swojej siedzibie pod adresem wskazanym w komparycji Umowy </w:t>
      </w:r>
      <w:r>
        <w:rPr>
          <w:rFonts w:cs="Calibri" w:ascii="Calibri" w:hAnsi="Calibri" w:asciiTheme="minorHAnsi" w:cstheme="minorHAnsi" w:hAnsiTheme="minorHAnsi"/>
          <w:color w:val="EE0000"/>
          <w:sz w:val="22"/>
          <w:szCs w:val="22"/>
        </w:rPr>
        <w:t>oraz w następujących lokalizacjach, w których znajdują się jednostki organizacyjne Zamawiającego:</w:t>
      </w:r>
    </w:p>
    <w:p>
      <w:pPr>
        <w:pStyle w:val="NormalWeb"/>
        <w:numPr>
          <w:ilvl w:val="2"/>
          <w:numId w:val="28"/>
        </w:numPr>
        <w:shd w:val="clear" w:color="auto" w:fill="FFFFFF" w:themeFill="background1"/>
        <w:spacing w:lineRule="auto" w:line="276" w:beforeAutospacing="0" w:before="0" w:afterAutospacing="0" w:after="0"/>
        <w:ind w:hanging="360" w:left="851"/>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w:t>
      </w:r>
    </w:p>
    <w:p>
      <w:pPr>
        <w:pStyle w:val="NormalWeb"/>
        <w:numPr>
          <w:ilvl w:val="1"/>
          <w:numId w:val="28"/>
        </w:numPr>
        <w:shd w:val="clear" w:color="auto" w:fill="FFFFFF" w:themeFill="background1"/>
        <w:spacing w:lineRule="auto" w:line="276" w:beforeAutospacing="0" w:before="0" w:afterAutospacing="0" w:after="0"/>
        <w:ind w:hanging="397" w:left="851"/>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w:t>
      </w:r>
    </w:p>
    <w:p>
      <w:pPr>
        <w:pStyle w:val="NormalWeb"/>
        <w:numPr>
          <w:ilvl w:val="1"/>
          <w:numId w:val="28"/>
        </w:numPr>
        <w:shd w:val="clear" w:color="auto" w:fill="FFFFFF" w:themeFill="background1"/>
        <w:spacing w:lineRule="auto" w:line="276" w:beforeAutospacing="0" w:before="0" w:afterAutospacing="0" w:after="0"/>
        <w:ind w:hanging="397" w:left="851"/>
        <w:jc w:val="both"/>
        <w:rPr>
          <w:rFonts w:ascii="Calibri" w:hAnsi="Calibri" w:cs="Calibri" w:asciiTheme="minorHAnsi" w:cstheme="minorHAnsi" w:hAnsiTheme="minorHAnsi"/>
          <w:color w:val="EE0000"/>
          <w:sz w:val="22"/>
          <w:szCs w:val="22"/>
        </w:rPr>
      </w:pPr>
      <w:r>
        <w:rPr>
          <w:rFonts w:cs="Calibri" w:ascii="Calibri" w:hAnsi="Calibri" w:asciiTheme="minorHAnsi" w:cstheme="minorHAnsi" w:hAnsiTheme="minorHAnsi"/>
          <w:color w:val="EE0000"/>
          <w:sz w:val="22"/>
          <w:szCs w:val="22"/>
        </w:rPr>
        <w:t>……………………………………</w:t>
      </w:r>
      <w:r>
        <w:rPr>
          <w:rFonts w:cs="Calibri" w:ascii="Calibri" w:hAnsi="Calibri" w:asciiTheme="minorHAnsi" w:cstheme="minorHAnsi" w:hAnsiTheme="minorHAnsi"/>
          <w:color w:val="EE0000"/>
          <w:sz w:val="22"/>
          <w:szCs w:val="22"/>
        </w:rPr>
        <w:t>..</w:t>
      </w:r>
      <w:r>
        <w:rPr>
          <w:rStyle w:val="FootnoteReference"/>
          <w:rFonts w:cs="Calibri" w:ascii="Calibri" w:hAnsi="Calibri" w:asciiTheme="minorHAnsi" w:cstheme="minorHAnsi" w:hAnsiTheme="minorHAnsi"/>
          <w:color w:val="EE0000"/>
          <w:sz w:val="22"/>
          <w:szCs w:val="22"/>
        </w:rPr>
        <w:footnoteReference w:id="3"/>
      </w:r>
    </w:p>
    <w:p>
      <w:pPr>
        <w:pStyle w:val="NormalWeb"/>
        <w:numPr>
          <w:ilvl w:val="0"/>
          <w:numId w:val="10"/>
        </w:numPr>
        <w:shd w:val="clear" w:color="auto" w:fill="FFFFFF"/>
        <w:spacing w:lineRule="auto" w:line="276" w:beforeAutospacing="0" w:before="0" w:afterAutospacing="0" w:after="0"/>
        <w:ind w:hanging="426" w:lef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Licencja uprawnia Zamawiającego do:</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b/>
          <w:color w:val="auto"/>
          <w:sz w:val="22"/>
          <w:szCs w:val="22"/>
        </w:rPr>
      </w:pPr>
      <w:r>
        <w:rPr>
          <w:rFonts w:cs="Calibri" w:ascii="Calibri" w:hAnsi="Calibri" w:asciiTheme="minorHAnsi" w:cstheme="minorHAnsi" w:hAnsiTheme="minorHAnsi"/>
          <w:color w:val="auto"/>
          <w:sz w:val="22"/>
          <w:szCs w:val="22"/>
        </w:rPr>
        <w:t xml:space="preserve">zwielokrotniania Oprogramowania Aplikacyjnego w pamięci komputerów i korzystanie z Oprogramowania Aplikacyjnego przez określoną liczbę użytkowników; </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instalacji na wskazanej Infrastrukturze Zamawiającego;</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instalacji na serwerze sieciowym z udostępnieniem określonej liczby użytkowników;</w:t>
      </w:r>
    </w:p>
    <w:p>
      <w:pPr>
        <w:pStyle w:val="NormalWeb"/>
        <w:numPr>
          <w:ilvl w:val="0"/>
          <w:numId w:val="20"/>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sporządzenia kopii zapasowej (-ych) każdego nośnika Oprogramowania Aplikacyjnego.</w:t>
      </w:r>
    </w:p>
    <w:p>
      <w:pPr>
        <w:pStyle w:val="NormalWeb"/>
        <w:numPr>
          <w:ilvl w:val="0"/>
          <w:numId w:val="10"/>
        </w:numPr>
        <w:shd w:val="clear" w:color="auto" w:fill="FFFFFF"/>
        <w:spacing w:lineRule="auto" w:line="276" w:beforeAutospacing="0" w:before="0" w:afterAutospacing="0" w:after="0"/>
        <w:ind w:hanging="425" w:lef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Zamawiający zobowiązuje się zorganizować i utrzymywać środki bezpieczeństwa zapobiegające jakiemukolwiek nieautoryzowanemu wykorzystaniu Oprogramowania Aplikacyjnego.</w:t>
      </w:r>
    </w:p>
    <w:p>
      <w:pPr>
        <w:pStyle w:val="NormalWeb"/>
        <w:numPr>
          <w:ilvl w:val="0"/>
          <w:numId w:val="10"/>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Z Oprogramowania Aplikacyjnego mogą korzystać wyłącznie użytkownicy, którzy uzyskali uprawnienia do korzystania z Oprogramowania Aplikacyjnego. Korzystanie przez inną osobę niż taki użytkownik z Oprogramowania Aplikacyjnego przy wykorzystaniu loginu (identyfikatora) i hasła uprawnionego użytkownika stanowi naruszenie warunków Umowy. Zamawiający nie ma prawa do dokonywania modyfikacji, zmian układu czy jakichkolwiek zmian programów komputerowych Oprogramowania Aplikacyjnego, za wyjątkiem realizacji praw licencjobiorcy przyznanych bezwzględnie obowiązującymi przepisami prawa. </w:t>
      </w:r>
    </w:p>
    <w:p>
      <w:pPr>
        <w:pStyle w:val="NormalWeb"/>
        <w:numPr>
          <w:ilvl w:val="0"/>
          <w:numId w:val="10"/>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Zamawiający nie jest uprawniony do udzielania sublicencji na Oprogramowanie Aplikacyjne.</w:t>
      </w:r>
    </w:p>
    <w:p>
      <w:pPr>
        <w:pStyle w:val="NormalWeb"/>
        <w:numPr>
          <w:ilvl w:val="0"/>
          <w:numId w:val="10"/>
        </w:numPr>
        <w:shd w:val="clear" w:color="auto" w:fill="FFFFFF"/>
        <w:spacing w:lineRule="auto" w:line="276" w:beforeAutospacing="0" w:before="0" w:afterAutospacing="0" w:after="0"/>
        <w:ind w:hanging="425" w:left="425"/>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Wykonawca nie odpowiada za szkody, jakie Zamawiający poniósł w związku z korzystaniem </w:t>
        <w:br/>
        <w:t>z Oprogramowania Aplikacyjnego, z wyjątkiem przypadków, gdy taką odpowiedzialność przewidują bezwzględnie obowiązujące przepisy prawa. Jeżeli oprogramowanie Aplikacyjne dostarczono na fizycznym nośniku (CD, DVD), Wykonawca odpowiada za wady fizyczne nośnika.</w:t>
      </w:r>
    </w:p>
    <w:p>
      <w:pPr>
        <w:pStyle w:val="NormalWeb"/>
        <w:numPr>
          <w:ilvl w:val="0"/>
          <w:numId w:val="10"/>
        </w:numPr>
        <w:shd w:val="clear" w:color="auto" w:fill="FFFFFF"/>
        <w:spacing w:lineRule="auto" w:line="276" w:beforeAutospacing="0" w:before="0" w:afterAutospacing="0" w:after="0"/>
        <w:ind w:hanging="426" w:left="426"/>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Wykonawca nie ponosi odpowiedzialności za:</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skutki korzystania z Oprogramowania,</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jakiekolwiek szkody wynikłe z nieprawidłowego działania lub zaprzestania funkcjonowania Oprogramowania Aplikacyjnego związane z nieprawidłowym korzystaniem z Oprogramowania Aplikacyjnego;</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korzystanie z Oprogramowania Aplikacyjnego przez osoby nieupoważnione i/lub w sposób nieuprawniony;</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dokonywanie modyfikacji Oprogramowania Aplikacyjnego przez osoby inne niż upoważnione przez Wykonawcę;</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udostępnienie hasła lub jakichkolwiek innych informacji identyfikujących użytkownika;</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wadliwe działanie sieci telekomunikacyjnej i sieci komunikacyjnej z urządzeniami;</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nieprawidłowe działanie lub brak działania Oprogramowania Aplikacyjnego osób trzecich, komunikującego się z oprogramowaniem Wykonawcy;</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nieautoryzowaną ingerencję Zamawiającego lub osób trzecich w struktury baz danych Oprogramowania Aplikacyjnego;</w:t>
      </w:r>
    </w:p>
    <w:p>
      <w:pPr>
        <w:pStyle w:val="NormalWeb"/>
        <w:numPr>
          <w:ilvl w:val="0"/>
          <w:numId w:val="21"/>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siłę wyższą;</w:t>
      </w:r>
    </w:p>
    <w:p>
      <w:pPr>
        <w:pStyle w:val="NormalWeb"/>
        <w:numPr>
          <w:ilvl w:val="0"/>
          <w:numId w:val="10"/>
        </w:numPr>
        <w:shd w:val="clear" w:color="auto" w:fill="FFFFFF"/>
        <w:spacing w:lineRule="auto" w:line="276" w:beforeAutospacing="0" w:before="0" w:afterAutospacing="0" w:after="0"/>
        <w:ind w:hanging="426" w:left="426"/>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bCs/>
          <w:color w:val="auto"/>
          <w:sz w:val="22"/>
          <w:szCs w:val="22"/>
        </w:rPr>
        <w:t>Wykonawca może wypowiedzieć prawo do korzystania z Oprogramowania Aplikacyjnego bez zachowania terminów wypowiedzenia, gdy Zamawiający:</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narusza warunki licencji w odniesieniu do miejsca, zakresu lub sposobu korzystania z każdego </w:t>
        <w:br/>
        <w:t>z Modułów Oprogramowania Aplikacyjnego lub jego części;</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opóźnia się w zapłacie wynagrodzenia określonego w Umowie za okres przekraczający 14 dni;</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uniemożliwia przedstawicielom Wykonawcy sprawdzenie sposobu wykorzystywania Oprogramowania Aplikacyjnego;</w:t>
      </w:r>
    </w:p>
    <w:p>
      <w:pPr>
        <w:pStyle w:val="NormalWeb"/>
        <w:numPr>
          <w:ilvl w:val="0"/>
          <w:numId w:val="22"/>
        </w:numPr>
        <w:shd w:val="clear" w:color="auto" w:fill="FFFFFF"/>
        <w:spacing w:lineRule="auto" w:line="276" w:beforeAutospacing="0" w:before="0" w:afterAutospacing="0" w:after="0"/>
        <w:jc w:val="both"/>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w inny sposób narusza prawa autorskie do Oprogramowania Aplikacyjnego.</w:t>
      </w:r>
    </w:p>
    <w:p>
      <w:pPr>
        <w:pStyle w:val="NormalWeb"/>
        <w:numPr>
          <w:ilvl w:val="0"/>
          <w:numId w:val="10"/>
        </w:numPr>
        <w:shd w:val="clear" w:color="auto" w:fill="FFFFFF"/>
        <w:spacing w:lineRule="auto" w:line="276" w:beforeAutospacing="0" w:before="0" w:afterAutospacing="0" w:after="0"/>
        <w:jc w:val="both"/>
        <w:rPr>
          <w:rFonts w:ascii="Calibri" w:hAnsi="Calibri" w:cs="Calibri" w:asciiTheme="minorHAnsi" w:cstheme="minorHAnsi" w:hAnsiTheme="minorHAnsi"/>
          <w:bCs/>
          <w:color w:val="auto"/>
          <w:sz w:val="22"/>
          <w:szCs w:val="22"/>
        </w:rPr>
      </w:pPr>
      <w:r>
        <w:rPr>
          <w:rFonts w:cs="Calibri" w:ascii="Calibri" w:hAnsi="Calibri" w:asciiTheme="minorHAnsi" w:cstheme="minorHAnsi" w:hAnsiTheme="minorHAnsi"/>
          <w:color w:val="auto"/>
          <w:sz w:val="22"/>
          <w:szCs w:val="22"/>
        </w:rPr>
        <w:t xml:space="preserve">W terminie 14 dni od rozwiązania umowy, Zamawiający ma obowiązek zaprzestania korzystania </w:t>
        <w:br/>
        <w:t>z Oprogramowania</w:t>
      </w:r>
      <w:r>
        <w:rPr>
          <w:rFonts w:cs="Calibri" w:ascii="Calibri" w:hAnsi="Calibri" w:asciiTheme="minorHAnsi" w:cstheme="minorHAnsi" w:hAnsiTheme="minorHAnsi"/>
          <w:bCs/>
          <w:color w:val="auto"/>
          <w:sz w:val="22"/>
          <w:szCs w:val="22"/>
        </w:rPr>
        <w:t xml:space="preserve"> Aplikacyjnego - w tym celu Zamawiający ma obowiązek usunięcia Oprogramowania Aplikacyjnego.</w:t>
      </w:r>
    </w:p>
    <w:p>
      <w:pPr>
        <w:pStyle w:val="Normal"/>
        <w:spacing w:before="0" w:after="0"/>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color w:val="auto"/>
        </w:rPr>
      </w:pPr>
      <w:r>
        <w:rPr>
          <w:rFonts w:cs="Calibri" w:cstheme="minorHAnsi"/>
          <w:b/>
          <w:color w:val="auto"/>
        </w:rPr>
        <w:t>ZAŁĄCZNIK NR 6</w:t>
      </w:r>
    </w:p>
    <w:p>
      <w:pPr>
        <w:pStyle w:val="Normal"/>
        <w:spacing w:before="0" w:after="0"/>
        <w:jc w:val="center"/>
        <w:rPr>
          <w:rFonts w:cs="Calibri" w:cstheme="minorHAnsi"/>
          <w:b/>
          <w:color w:val="auto"/>
        </w:rPr>
      </w:pPr>
      <w:r>
        <w:rPr>
          <w:rFonts w:cs="Calibri" w:cstheme="minorHAnsi"/>
          <w:b/>
          <w:color w:val="auto"/>
        </w:rPr>
        <w:t>UMOWA POWIERZENIA PRZETWARZANIA DANYCH OSOBOWYCH</w:t>
      </w:r>
    </w:p>
    <w:p>
      <w:pPr>
        <w:pStyle w:val="Normal"/>
        <w:spacing w:before="0" w:after="0"/>
        <w:jc w:val="center"/>
        <w:rPr>
          <w:rFonts w:cs="Calibri" w:cstheme="minorHAnsi"/>
          <w:b/>
          <w:color w:val="auto"/>
        </w:rPr>
      </w:pPr>
      <w:r>
        <w:rPr>
          <w:rFonts w:cs="Calibri" w:cstheme="minorHAnsi"/>
          <w:b/>
          <w:color w:val="auto"/>
        </w:rPr>
        <w:t>[wzór]</w:t>
      </w:r>
    </w:p>
    <w:p>
      <w:pPr>
        <w:pStyle w:val="Normal"/>
        <w:spacing w:lineRule="auto" w:line="240" w:before="0" w:after="0"/>
        <w:jc w:val="both"/>
        <w:rPr>
          <w:rFonts w:ascii="Calibri" w:hAnsi="Calibri"/>
          <w:sz w:val="22"/>
          <w:szCs w:val="22"/>
        </w:rPr>
      </w:pPr>
      <w:r>
        <w:rPr>
          <w:rFonts w:cs="Arial"/>
          <w:b/>
          <w:bCs/>
          <w:sz w:val="22"/>
          <w:szCs w:val="22"/>
          <w:lang w:eastAsia="pl-PL"/>
        </w:rPr>
        <w:t>Szpital Powiatowy im. Tadeusza Malińskiego w Śremie sp. z o.o.</w:t>
      </w:r>
      <w:r>
        <w:rPr>
          <w:rFonts w:cs="Arial"/>
          <w:bCs/>
          <w:sz w:val="22"/>
          <w:szCs w:val="22"/>
          <w:lang w:eastAsia="pl-PL"/>
        </w:rPr>
        <w:t xml:space="preserve">, z siedzibą w Śremie, </w:t>
      </w:r>
    </w:p>
    <w:p>
      <w:pPr>
        <w:pStyle w:val="Normal"/>
        <w:spacing w:lineRule="auto" w:line="240" w:before="0" w:after="0"/>
        <w:jc w:val="both"/>
        <w:rPr>
          <w:rFonts w:ascii="Calibri" w:hAnsi="Calibri"/>
          <w:sz w:val="22"/>
          <w:szCs w:val="22"/>
        </w:rPr>
      </w:pPr>
      <w:r>
        <w:rPr>
          <w:rFonts w:cs="Arial"/>
          <w:sz w:val="22"/>
          <w:szCs w:val="22"/>
        </w:rPr>
        <w:t>ul. Chełmońskiego 1 63-100 Śrem, wpisaną do Rejestru Przedsiębiorców Krajowego Rejestru</w:t>
      </w:r>
    </w:p>
    <w:p>
      <w:pPr>
        <w:pStyle w:val="Normal"/>
        <w:spacing w:lineRule="auto" w:line="240" w:before="0" w:after="0"/>
        <w:jc w:val="both"/>
        <w:rPr>
          <w:rFonts w:ascii="Calibri" w:hAnsi="Calibri"/>
          <w:sz w:val="22"/>
          <w:szCs w:val="22"/>
        </w:rPr>
      </w:pPr>
      <w:r>
        <w:rPr>
          <w:rFonts w:cs="Arial"/>
          <w:sz w:val="22"/>
          <w:szCs w:val="22"/>
        </w:rPr>
        <w:t>Sądowego prowadzonego przez Sąd Rejonowy Poznań - Nowe Miasto i Wilda w Poznaniu, IX Wydział</w:t>
      </w:r>
    </w:p>
    <w:p>
      <w:pPr>
        <w:pStyle w:val="Normal"/>
        <w:spacing w:lineRule="auto" w:line="240" w:before="0" w:after="0"/>
        <w:jc w:val="both"/>
        <w:rPr>
          <w:rFonts w:ascii="Calibri" w:hAnsi="Calibri"/>
          <w:sz w:val="22"/>
          <w:szCs w:val="22"/>
        </w:rPr>
      </w:pPr>
      <w:r>
        <w:rPr>
          <w:rFonts w:cs="Arial"/>
          <w:sz w:val="22"/>
          <w:szCs w:val="22"/>
        </w:rPr>
        <w:t xml:space="preserve">Gospodarczy KRS pod numerem 0000390057, NIP 7851793027, REGON 301778672, </w:t>
      </w:r>
      <w:r>
        <w:rPr>
          <w:rFonts w:cs="Tahoma"/>
          <w:sz w:val="22"/>
          <w:szCs w:val="22"/>
        </w:rPr>
        <w:t>BDO 000041619</w:t>
      </w:r>
    </w:p>
    <w:p>
      <w:pPr>
        <w:pStyle w:val="Normal"/>
        <w:spacing w:lineRule="auto" w:line="240" w:before="0" w:after="0"/>
        <w:jc w:val="both"/>
        <w:rPr>
          <w:rFonts w:ascii="Calibri" w:hAnsi="Calibri"/>
          <w:sz w:val="22"/>
          <w:szCs w:val="22"/>
        </w:rPr>
      </w:pPr>
      <w:r>
        <w:rPr>
          <w:rFonts w:cs="Arial"/>
          <w:sz w:val="22"/>
          <w:szCs w:val="22"/>
        </w:rPr>
        <w:t xml:space="preserve">o kapitale zakładowym </w:t>
      </w:r>
      <w:r>
        <w:rPr>
          <w:rFonts w:eastAsia="Arial" w:cs="Arial"/>
          <w:b w:val="false"/>
          <w:bCs w:val="false"/>
          <w:color w:val="000000"/>
          <w:spacing w:val="20"/>
          <w:sz w:val="22"/>
          <w:szCs w:val="22"/>
        </w:rPr>
        <w:t>35</w:t>
      </w:r>
      <w:r>
        <w:rPr>
          <w:rFonts w:eastAsia="Arial" w:cs="Arial"/>
          <w:b w:val="false"/>
          <w:bCs w:val="false"/>
          <w:i w:val="false"/>
          <w:caps w:val="false"/>
          <w:smallCaps w:val="false"/>
          <w:color w:val="000000"/>
          <w:spacing w:val="0"/>
          <w:sz w:val="22"/>
          <w:szCs w:val="22"/>
        </w:rPr>
        <w:t xml:space="preserve"> 855 500</w:t>
      </w:r>
      <w:r>
        <w:rPr>
          <w:rFonts w:cs="Arial"/>
          <w:b w:val="false"/>
          <w:bCs w:val="false"/>
          <w:color w:val="000000"/>
          <w:spacing w:val="20"/>
          <w:sz w:val="22"/>
          <w:szCs w:val="22"/>
        </w:rPr>
        <w:t>,00</w:t>
      </w:r>
      <w:r>
        <w:rPr>
          <w:rFonts w:cs="Arial"/>
          <w:sz w:val="22"/>
          <w:szCs w:val="22"/>
        </w:rPr>
        <w:t xml:space="preserve"> zł,</w:t>
      </w:r>
    </w:p>
    <w:p>
      <w:pPr>
        <w:pStyle w:val="Normal"/>
        <w:spacing w:lineRule="auto" w:line="240" w:before="0" w:after="0"/>
        <w:jc w:val="both"/>
        <w:rPr>
          <w:rFonts w:ascii="Calibri" w:hAnsi="Calibri"/>
          <w:sz w:val="22"/>
          <w:szCs w:val="22"/>
        </w:rPr>
      </w:pPr>
      <w:r>
        <w:rPr>
          <w:rFonts w:cs="Tahoma"/>
          <w:sz w:val="22"/>
          <w:szCs w:val="22"/>
        </w:rPr>
        <w:t>reprezentowaną przez:</w:t>
      </w:r>
    </w:p>
    <w:p>
      <w:pPr>
        <w:pStyle w:val="Normal"/>
        <w:spacing w:lineRule="auto" w:line="240"/>
        <w:jc w:val="both"/>
        <w:rPr>
          <w:rFonts w:ascii="Calibri" w:hAnsi="Calibri"/>
          <w:sz w:val="22"/>
          <w:szCs w:val="22"/>
        </w:rPr>
      </w:pPr>
      <w:r>
        <w:rPr>
          <w:rFonts w:cs="Tahoma"/>
          <w:b/>
          <w:bCs/>
          <w:color w:val="auto"/>
          <w:sz w:val="22"/>
          <w:szCs w:val="22"/>
        </w:rPr>
        <w:t>Michała Sobolewskiego – Prezesa Zarządu</w:t>
      </w:r>
    </w:p>
    <w:p>
      <w:pPr>
        <w:pStyle w:val="Normal"/>
        <w:spacing w:before="0" w:after="0"/>
        <w:jc w:val="both"/>
        <w:rPr>
          <w:rFonts w:cs="Calibri" w:cstheme="minorHAnsi"/>
          <w:color w:val="auto"/>
        </w:rPr>
      </w:pPr>
      <w:r>
        <w:rPr>
          <w:rFonts w:cs="Calibri" w:cstheme="minorHAnsi"/>
          <w:color w:val="auto"/>
        </w:rPr>
        <w:t xml:space="preserve">zwany dalej Zamawiającym albo Administratorem, </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oraz firma</w:t>
      </w:r>
    </w:p>
    <w:p>
      <w:pPr>
        <w:pStyle w:val="Normal"/>
        <w:spacing w:before="0" w:after="0"/>
        <w:jc w:val="both"/>
        <w:rPr>
          <w:rFonts w:cs="Calibri" w:cstheme="minorHAnsi"/>
          <w:b/>
          <w:bCs/>
          <w:color w:val="auto"/>
        </w:rPr>
      </w:pPr>
      <w:r>
        <w:rPr>
          <w:rFonts w:cs="Calibri" w:cstheme="minorHAnsi"/>
          <w:b/>
          <w:bCs/>
          <w:color w:val="auto"/>
        </w:rPr>
      </w:r>
    </w:p>
    <w:p>
      <w:pPr>
        <w:pStyle w:val="Normal"/>
        <w:spacing w:before="0" w:after="0"/>
        <w:jc w:val="both"/>
        <w:rPr>
          <w:rFonts w:cs="Calibri" w:cstheme="minorHAnsi"/>
          <w:color w:val="auto"/>
        </w:rPr>
      </w:pPr>
      <w:r>
        <w:rPr>
          <w:rFonts w:cs="Calibri" w:cstheme="minorHAnsi"/>
          <w:b/>
          <w:bCs/>
          <w:color w:val="auto"/>
        </w:rPr>
        <w:t>………</w:t>
      </w:r>
      <w:r>
        <w:rPr>
          <w:rFonts w:cs="Calibri" w:cstheme="minorHAnsi"/>
          <w:b/>
          <w:bCs/>
          <w:color w:val="auto"/>
        </w:rPr>
        <w:t>.</w:t>
      </w:r>
      <w:r>
        <w:rPr>
          <w:rFonts w:cs="Calibri" w:cstheme="minorHAnsi"/>
          <w:color w:val="auto"/>
        </w:rPr>
        <w:t xml:space="preserve"> z siedzibą …………, przy ul. ………………, wpisana do rejestru przedsiębiorców przez Sąd Rejonowy w ………….., Wydział …………. Gospodarczy Krajowego Rejestru Sądowego, pod numerem KRS ……………, o kapitale zakładowym, opłaconym w całości, w wysokości ……………. zł *[jeśli dotyczy], NIP ……………, REGON …………….., BDO ………… *[jeśli dotyczy], reprezentowana przez:</w:t>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tab/>
        <w:t xml:space="preserve">- </w:t>
        <w:tab/>
        <w:t>…………………………………….</w:t>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tab/>
        <w:t xml:space="preserve">- </w:t>
        <w:tab/>
        <w:t>…………………………………….</w:t>
      </w:r>
    </w:p>
    <w:p>
      <w:pPr>
        <w:pStyle w:val="Normal"/>
        <w:spacing w:before="0" w:after="0"/>
        <w:jc w:val="both"/>
        <w:rPr>
          <w:rFonts w:cs="Calibri" w:cstheme="minorHAnsi"/>
          <w:color w:val="auto"/>
        </w:rPr>
      </w:pPr>
      <w:r>
        <w:rPr>
          <w:rFonts w:cs="Calibri" w:cstheme="minorHAnsi"/>
          <w:color w:val="auto"/>
        </w:rPr>
        <w:t xml:space="preserve">zwana w treści Umowy Wykonawcą lub Przetwarzającym, </w:t>
      </w:r>
    </w:p>
    <w:p>
      <w:pPr>
        <w:pStyle w:val="Normal"/>
        <w:spacing w:before="0" w:after="0"/>
        <w:jc w:val="both"/>
        <w:rPr>
          <w:rFonts w:cs="Calibri" w:cstheme="minorHAnsi"/>
          <w:color w:val="auto"/>
        </w:rPr>
      </w:pPr>
      <w:r>
        <w:rPr>
          <w:rFonts w:cs="Calibri" w:cstheme="minorHAnsi"/>
          <w:color w:val="auto"/>
        </w:rPr>
        <w:t>zwane dalej łącznie Stronami, a każda z osoba Stroną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Zważywszy że prawidłowa realizacja Umowy nr  …………………. (dalej: Umowa Podstawowa) wymaga wykonywania przez Wykonawcę operacji w zakresie przetwarzania danych osobowych w imieniu Zamawiającego, związanych w szczególności z realizacją świadczeń w ramach:</w:t>
      </w:r>
    </w:p>
    <w:p>
      <w:pPr>
        <w:pStyle w:val="ListParagraph"/>
        <w:numPr>
          <w:ilvl w:val="0"/>
          <w:numId w:val="41"/>
        </w:numPr>
        <w:spacing w:before="0" w:after="0"/>
        <w:contextualSpacing/>
        <w:jc w:val="both"/>
        <w:rPr>
          <w:rFonts w:cs="Calibri" w:cstheme="minorHAnsi"/>
          <w:color w:val="auto"/>
        </w:rPr>
      </w:pPr>
      <w:r>
        <w:rPr>
          <w:rFonts w:cs="Calibri" w:cstheme="minorHAnsi"/>
          <w:color w:val="auto"/>
        </w:rPr>
        <w:t>[Wdrożenia,];</w:t>
      </w:r>
    </w:p>
    <w:p>
      <w:pPr>
        <w:pStyle w:val="ListParagraph"/>
        <w:numPr>
          <w:ilvl w:val="0"/>
          <w:numId w:val="41"/>
        </w:numPr>
        <w:spacing w:before="0" w:after="0"/>
        <w:contextualSpacing/>
        <w:jc w:val="both"/>
        <w:rPr>
          <w:rFonts w:cs="Calibri" w:cstheme="minorHAnsi"/>
          <w:color w:val="auto"/>
        </w:rPr>
      </w:pPr>
      <w:r>
        <w:rPr>
          <w:rFonts w:cs="Calibri" w:cstheme="minorHAnsi"/>
          <w:color w:val="auto"/>
        </w:rPr>
        <w:t>[Gwarancji];</w:t>
      </w:r>
    </w:p>
    <w:p>
      <w:pPr>
        <w:pStyle w:val="Normal"/>
        <w:spacing w:before="0" w:after="0"/>
        <w:jc w:val="both"/>
        <w:rPr>
          <w:rFonts w:cs="Calibri" w:cstheme="minorHAnsi"/>
          <w:color w:val="auto"/>
        </w:rPr>
      </w:pPr>
      <w:r>
        <w:rPr>
          <w:rFonts w:cs="Calibri" w:cstheme="minorHAnsi"/>
          <w:color w:val="auto"/>
        </w:rPr>
        <w:t>Strony postanowiły zawrzeć umowę o powierzenie do przetwarzania danych osobowych, o następującej treści :</w:t>
      </w:r>
    </w:p>
    <w:p>
      <w:pPr>
        <w:pStyle w:val="Normal"/>
        <w:spacing w:before="0" w:after="0"/>
        <w:jc w:val="both"/>
        <w:rPr>
          <w:rFonts w:cs="Calibri" w:cstheme="minorHAnsi"/>
          <w:color w:val="auto"/>
        </w:rPr>
      </w:pPr>
      <w:r>
        <w:rPr>
          <w:rFonts w:cs="Calibri" w:cstheme="minorHAnsi"/>
          <w:color w:val="auto"/>
        </w:rPr>
      </w:r>
    </w:p>
    <w:p>
      <w:pPr>
        <w:pStyle w:val="ListParagraph"/>
        <w:numPr>
          <w:ilvl w:val="0"/>
          <w:numId w:val="36"/>
        </w:numPr>
        <w:spacing w:before="0" w:after="0"/>
        <w:contextualSpacing/>
        <w:jc w:val="both"/>
        <w:rPr>
          <w:rFonts w:cs="Calibri" w:cstheme="minorHAnsi"/>
          <w:color w:val="auto"/>
        </w:rPr>
      </w:pPr>
      <w:r>
        <w:rPr>
          <w:rFonts w:cs="Calibri" w:cstheme="minorHAnsi"/>
          <w:color w:val="auto"/>
        </w:rPr>
        <w:t>W związku z koniecznością wykonywania operacji przetwarzania danych osobowych,  Zamawiający,  na podstawie art. 28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powierza Wykonawcy do przetwarzania dane osobowe w zakresie niezbędnym do prawidłowej realizacji Umowy Podstawowej.</w:t>
      </w:r>
    </w:p>
    <w:p>
      <w:pPr>
        <w:pStyle w:val="ListParagraph"/>
        <w:numPr>
          <w:ilvl w:val="0"/>
          <w:numId w:val="36"/>
        </w:numPr>
        <w:spacing w:before="0" w:after="0"/>
        <w:contextualSpacing/>
        <w:jc w:val="both"/>
        <w:rPr>
          <w:rFonts w:cs="Calibri" w:cstheme="minorHAnsi"/>
          <w:color w:val="auto"/>
        </w:rPr>
      </w:pPr>
      <w:r>
        <w:rPr>
          <w:rFonts w:cs="Calibri" w:cstheme="minorHAnsi"/>
          <w:color w:val="auto"/>
        </w:rPr>
        <w:t>Pod pojęciami „dane osobowe” lub „dane” użytymi w Umowie, Strony rozumieją dane osobowe zdefiniowane w art. 4 pkt 1 RODO, których rodzaj i zakres zostały wskazane w Umowie.</w:t>
      </w:r>
    </w:p>
    <w:p>
      <w:pPr>
        <w:pStyle w:val="ListParagraph"/>
        <w:numPr>
          <w:ilvl w:val="0"/>
          <w:numId w:val="36"/>
        </w:numPr>
        <w:spacing w:before="0" w:after="0"/>
        <w:contextualSpacing/>
        <w:jc w:val="both"/>
        <w:rPr>
          <w:rFonts w:cs="Calibri" w:cstheme="minorHAnsi"/>
          <w:color w:val="auto"/>
        </w:rPr>
      </w:pPr>
      <w:r>
        <w:rPr>
          <w:rFonts w:cs="Calibri" w:cstheme="minorHAnsi"/>
          <w:color w:val="auto"/>
        </w:rPr>
        <w:t xml:space="preserve">Zamawiający oświadcza, że jest administratorem w rozumieniu art. 4 ust. 7  RODO, lub jest uprawniony, na mocy art. 28 ust. 2 RODO do dalszego powierzenia Wykonawcy przetwarzania danych osobowych.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Wykonawca oświadcza, że jest podmiotem przetwarzającym w rozumieniu art. 4 pkt 8 RODO i posiada zasoby infrastrukturalne, doświadczenie, wiedzę oraz wykwalifikowany personel, w zakresie umożliwiającym należyte wykonanie Umowy Podstawowej i Umowy, w zgodzie z obowiązującymi przepisami prawa. W szczególności Wykonawca oświadcza, że znane mu są zasady przetwarzania danych osobowych wynikające z RODO.</w:t>
      </w:r>
    </w:p>
    <w:p>
      <w:pPr>
        <w:pStyle w:val="ListParagraph"/>
        <w:numPr>
          <w:ilvl w:val="0"/>
          <w:numId w:val="36"/>
        </w:numPr>
        <w:spacing w:before="0" w:after="0"/>
        <w:contextualSpacing/>
        <w:jc w:val="both"/>
        <w:rPr>
          <w:rFonts w:cs="Calibri" w:cstheme="minorHAnsi"/>
          <w:color w:val="auto"/>
        </w:rPr>
      </w:pPr>
      <w:r>
        <w:rPr>
          <w:rFonts w:cs="Calibri" w:cstheme="minorHAnsi"/>
          <w:color w:val="auto"/>
        </w:rPr>
        <w:t xml:space="preserve">Przetwarzanie odbywać się będzie w formie elektronicznej, poprzez wykonywanie wszystkich operacji przetwarzania uzasadnionych wykonywaniem usług objętych przedmiotem Umowy. Wykonawca jest uprawniony w szczególności do wykonywania  następujących operacji przetwarzania: utrwalanie, porządkowanie/organizowanie, pobieranie, przesyłanie, przechowywanie, usuwanie oraz inne operacje o ile okażą się niezbędne do prawidłowej realizacji Umowy.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Dostęp do powierzonych danych osobowych odbywać się będzie za pośrednictwem szyfrowanego łącza VPN, aktywowanego w związku z realizacją Umowy lub w innej, szyfrowanej formie ustalonej między Stronami.</w:t>
      </w:r>
    </w:p>
    <w:p>
      <w:pPr>
        <w:pStyle w:val="ListParagraph"/>
        <w:numPr>
          <w:ilvl w:val="0"/>
          <w:numId w:val="36"/>
        </w:numPr>
        <w:spacing w:before="0" w:after="0"/>
        <w:contextualSpacing/>
        <w:jc w:val="both"/>
        <w:rPr>
          <w:rFonts w:cs="Calibri" w:cstheme="minorHAnsi"/>
          <w:color w:val="auto"/>
        </w:rPr>
      </w:pPr>
      <w:r>
        <w:rPr>
          <w:rFonts w:cs="Calibri" w:cstheme="minorHAnsi"/>
          <w:color w:val="auto"/>
        </w:rPr>
        <w:t xml:space="preserve">Przetwarzanie będzie wykonywane w okresie realizacji Umowy Podstawowej  i wszystkich zobowiązań z niej wynikających.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Uwzględniając charakter usług świadczonych na podstawie Umowy,  stan wiedzy technicznej, koszt wdrażania, charakter, zakres, kontekst i cele przetwarzania oraz ryzyko naruszenia praw lub wolności osób fizycznych o różnym prawdopodobieństwie wystąpienia i wadze zagrożenia, Wykonawca zobowiązany jest do wdrożenia odpowiednich środków technicznych i organizacyjnych tak, aby zapewnić stopień bezpieczeństwa odpowiadający temu ryzyku, w szczególności zobowiązuje się do stosowania zabezpieczeń wskazanych w Załączniku do Umowy.</w:t>
      </w:r>
    </w:p>
    <w:p>
      <w:pPr>
        <w:pStyle w:val="ListParagraph"/>
        <w:numPr>
          <w:ilvl w:val="0"/>
          <w:numId w:val="36"/>
        </w:numPr>
        <w:spacing w:before="0" w:after="0"/>
        <w:contextualSpacing/>
        <w:jc w:val="both"/>
        <w:rPr>
          <w:rFonts w:cs="Calibri" w:cstheme="minorHAnsi"/>
          <w:color w:val="auto"/>
        </w:rPr>
      </w:pPr>
      <w:r>
        <w:rPr>
          <w:rFonts w:cs="Calibri" w:cstheme="minorHAnsi"/>
          <w:color w:val="auto"/>
        </w:rPr>
        <w:t>Przetwarzanie obejmować będzie rodzaje danych osobowych wskazane poniżej:</w:t>
      </w:r>
    </w:p>
    <w:p>
      <w:pPr>
        <w:pStyle w:val="ListParagraph"/>
        <w:numPr>
          <w:ilvl w:val="0"/>
          <w:numId w:val="39"/>
        </w:numPr>
        <w:spacing w:before="0" w:after="0"/>
        <w:contextualSpacing/>
        <w:jc w:val="both"/>
        <w:rPr>
          <w:rFonts w:cs="Calibri" w:cstheme="minorHAnsi"/>
          <w:color w:val="auto"/>
        </w:rPr>
      </w:pPr>
      <w:r>
        <w:rPr>
          <w:rFonts w:cs="Calibri" w:cstheme="minorHAnsi"/>
          <w:color w:val="auto"/>
        </w:rPr>
        <w:t>Dane identyfikacyjne,</w:t>
      </w:r>
    </w:p>
    <w:p>
      <w:pPr>
        <w:pStyle w:val="ListParagraph"/>
        <w:numPr>
          <w:ilvl w:val="0"/>
          <w:numId w:val="39"/>
        </w:numPr>
        <w:spacing w:before="0" w:after="0"/>
        <w:contextualSpacing/>
        <w:jc w:val="both"/>
        <w:rPr>
          <w:rFonts w:cs="Calibri" w:cstheme="minorHAnsi"/>
          <w:color w:val="auto"/>
        </w:rPr>
      </w:pPr>
      <w:r>
        <w:rPr>
          <w:rFonts w:cs="Calibri" w:cstheme="minorHAnsi"/>
          <w:color w:val="auto"/>
        </w:rPr>
        <w:t>Dane adresowe,</w:t>
      </w:r>
    </w:p>
    <w:p>
      <w:pPr>
        <w:pStyle w:val="ListParagraph"/>
        <w:numPr>
          <w:ilvl w:val="0"/>
          <w:numId w:val="39"/>
        </w:numPr>
        <w:spacing w:before="0" w:after="0"/>
        <w:contextualSpacing/>
        <w:jc w:val="both"/>
        <w:rPr>
          <w:rFonts w:cs="Calibri" w:cstheme="minorHAnsi"/>
          <w:color w:val="auto"/>
        </w:rPr>
      </w:pPr>
      <w:r>
        <w:rPr>
          <w:rFonts w:cs="Calibri" w:cstheme="minorHAnsi"/>
          <w:color w:val="auto"/>
        </w:rPr>
        <w:t>Dane dot. stanu zdrowia,</w:t>
      </w:r>
    </w:p>
    <w:p>
      <w:pPr>
        <w:pStyle w:val="ListParagraph"/>
        <w:numPr>
          <w:ilvl w:val="0"/>
          <w:numId w:val="39"/>
        </w:numPr>
        <w:spacing w:before="0" w:after="0"/>
        <w:contextualSpacing/>
        <w:jc w:val="both"/>
        <w:rPr>
          <w:rFonts w:cs="Calibri" w:cstheme="minorHAnsi"/>
          <w:color w:val="auto"/>
        </w:rPr>
      </w:pPr>
      <w:r>
        <w:rPr>
          <w:rFonts w:cs="Calibri" w:cstheme="minorHAnsi"/>
          <w:color w:val="auto"/>
        </w:rPr>
        <w:t>Dane kontaktowe,</w:t>
      </w:r>
    </w:p>
    <w:p>
      <w:pPr>
        <w:pStyle w:val="ListParagraph"/>
        <w:numPr>
          <w:ilvl w:val="0"/>
          <w:numId w:val="39"/>
        </w:numPr>
        <w:spacing w:before="0" w:after="0"/>
        <w:contextualSpacing/>
        <w:jc w:val="both"/>
        <w:rPr>
          <w:rFonts w:cs="Calibri" w:cstheme="minorHAnsi"/>
          <w:color w:val="auto"/>
        </w:rPr>
      </w:pPr>
      <w:r>
        <w:rPr>
          <w:rFonts w:cs="Calibri" w:cstheme="minorHAnsi"/>
          <w:color w:val="auto"/>
        </w:rPr>
        <w:t>Numery systemowe umożliwiające identyfikację,</w:t>
      </w:r>
    </w:p>
    <w:p>
      <w:pPr>
        <w:pStyle w:val="ListParagraph"/>
        <w:numPr>
          <w:ilvl w:val="0"/>
          <w:numId w:val="39"/>
        </w:numPr>
        <w:spacing w:before="0" w:after="0"/>
        <w:contextualSpacing/>
        <w:jc w:val="both"/>
        <w:rPr>
          <w:rFonts w:cs="Calibri" w:cstheme="minorHAnsi"/>
          <w:color w:val="auto"/>
        </w:rPr>
      </w:pPr>
      <w:r>
        <w:rPr>
          <w:rFonts w:cs="Calibri" w:cstheme="minorHAnsi"/>
          <w:color w:val="auto"/>
        </w:rPr>
        <w:t>Inne dane osobowe,  związane z realizowanymi zadaniami Zamawiającego w szczególności informacje opisujące relacje Zamawiającego z Pacjentami,  Pracownikami i Kontrahentami  Zamawiającego.</w:t>
      </w:r>
    </w:p>
    <w:p>
      <w:pPr>
        <w:pStyle w:val="ListParagraph"/>
        <w:numPr>
          <w:ilvl w:val="0"/>
          <w:numId w:val="36"/>
        </w:numPr>
        <w:spacing w:before="0" w:after="0"/>
        <w:contextualSpacing/>
        <w:jc w:val="both"/>
        <w:rPr>
          <w:rFonts w:cs="Calibri" w:cstheme="minorHAnsi"/>
          <w:color w:val="auto"/>
        </w:rPr>
      </w:pPr>
      <w:r>
        <w:rPr>
          <w:rFonts w:cs="Calibri" w:cstheme="minorHAnsi"/>
          <w:color w:val="auto"/>
        </w:rPr>
        <w:t>Przetwarzanie danych będzie dotyczyć następujących kategorii osób:</w:t>
      </w:r>
    </w:p>
    <w:p>
      <w:pPr>
        <w:pStyle w:val="ListParagraph"/>
        <w:numPr>
          <w:ilvl w:val="0"/>
          <w:numId w:val="40"/>
        </w:numPr>
        <w:spacing w:before="0" w:after="0"/>
        <w:contextualSpacing/>
        <w:jc w:val="both"/>
        <w:rPr>
          <w:rFonts w:cs="Calibri" w:cstheme="minorHAnsi"/>
          <w:color w:val="auto"/>
        </w:rPr>
      </w:pPr>
      <w:r>
        <w:rPr>
          <w:rFonts w:cs="Calibri" w:cstheme="minorHAnsi"/>
          <w:color w:val="auto"/>
        </w:rPr>
        <w:t>Pracownicy i personel medyczny świadczący usługi dla Zamawiającego i osoby, z którymi wchodzą oni w     interakcje społeczne,</w:t>
      </w:r>
    </w:p>
    <w:p>
      <w:pPr>
        <w:pStyle w:val="ListParagraph"/>
        <w:numPr>
          <w:ilvl w:val="0"/>
          <w:numId w:val="40"/>
        </w:numPr>
        <w:spacing w:before="0" w:after="0"/>
        <w:contextualSpacing/>
        <w:jc w:val="both"/>
        <w:rPr>
          <w:rFonts w:cs="Calibri" w:cstheme="minorHAnsi"/>
          <w:color w:val="auto"/>
        </w:rPr>
      </w:pPr>
      <w:r>
        <w:rPr>
          <w:rFonts w:cs="Calibri" w:cstheme="minorHAnsi"/>
          <w:color w:val="auto"/>
        </w:rPr>
        <w:t>Pacjenci Zamawiającego i osoby, z którymi wchodzą oni w interakcje społeczne</w:t>
      </w:r>
    </w:p>
    <w:p>
      <w:pPr>
        <w:pStyle w:val="ListParagraph"/>
        <w:numPr>
          <w:ilvl w:val="0"/>
          <w:numId w:val="40"/>
        </w:numPr>
        <w:spacing w:before="0" w:after="0"/>
        <w:contextualSpacing/>
        <w:jc w:val="both"/>
        <w:rPr>
          <w:rFonts w:cs="Calibri" w:cstheme="minorHAnsi"/>
          <w:color w:val="auto"/>
        </w:rPr>
      </w:pPr>
      <w:r>
        <w:rPr>
          <w:rFonts w:cs="Calibri" w:cstheme="minorHAnsi"/>
          <w:color w:val="auto"/>
        </w:rPr>
        <w:t>Kontrahenci Zamawiającego.</w:t>
      </w:r>
    </w:p>
    <w:p>
      <w:pPr>
        <w:pStyle w:val="ListParagraph"/>
        <w:numPr>
          <w:ilvl w:val="0"/>
          <w:numId w:val="36"/>
        </w:numPr>
        <w:spacing w:before="0" w:after="0"/>
        <w:contextualSpacing/>
        <w:jc w:val="both"/>
        <w:rPr>
          <w:rFonts w:cs="Calibri" w:cstheme="minorHAnsi"/>
          <w:color w:val="auto"/>
        </w:rPr>
      </w:pPr>
      <w:r>
        <w:rPr>
          <w:rFonts w:cs="Calibri" w:cstheme="minorHAnsi"/>
          <w:color w:val="auto"/>
        </w:rPr>
        <w:t>Dostęp do danych osobowych przydzielany jest w oparciu o zasadę minimalnych koniecznych uprawnień tj. tylko uprawnień niezbędnych do wykonania czynności określonych w Umowie. Osoby upoważnione do przetwarzania danych zostały zobowiązane do zachowania  tajemnicy.</w:t>
      </w:r>
    </w:p>
    <w:p>
      <w:pPr>
        <w:pStyle w:val="ListParagraph"/>
        <w:numPr>
          <w:ilvl w:val="0"/>
          <w:numId w:val="36"/>
        </w:numPr>
        <w:spacing w:before="0" w:after="0"/>
        <w:contextualSpacing/>
        <w:jc w:val="both"/>
        <w:rPr>
          <w:rFonts w:cs="Calibri" w:cstheme="minorHAnsi"/>
          <w:color w:val="auto"/>
        </w:rPr>
      </w:pPr>
      <w:r>
        <w:rPr>
          <w:rFonts w:cs="Calibri" w:cstheme="minorHAnsi"/>
          <w:color w:val="auto"/>
        </w:rPr>
        <w:t>Wykonawca przetwarza dane wyłącznie zgodnie z udokumentowanymi poleceniami lub instrukcjami Zamawiającego, przy czym Strony uzgadniają, że za udokumentowane polecenia uznaje się niniejszą Umowę oraz zadania i czynności zlecane do wykonania Wykonawcy w ramach Umowy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Wykonawca będzie prowadził rejestr wszystkich kategorii czynności przetwarzania dokonywanych w imieniu Administratora, zawierający informacje wskazane w art. 30 ust. 2 RODO i na zasadach tam określonych.</w:t>
      </w:r>
    </w:p>
    <w:p>
      <w:pPr>
        <w:pStyle w:val="ListParagraph"/>
        <w:numPr>
          <w:ilvl w:val="0"/>
          <w:numId w:val="36"/>
        </w:numPr>
        <w:spacing w:before="0" w:after="0"/>
        <w:contextualSpacing/>
        <w:jc w:val="both"/>
        <w:rPr>
          <w:rFonts w:cs="Calibri" w:cstheme="minorHAnsi"/>
          <w:color w:val="auto"/>
        </w:rPr>
      </w:pPr>
      <w:r>
        <w:rPr>
          <w:rFonts w:cs="Calibri" w:cstheme="minorHAnsi"/>
          <w:color w:val="auto"/>
        </w:rPr>
        <w:t>Zamawiający wyraża ogólną zgodę na dalsze powierzenie  przez  Wykonawcę innemu przetwarzającemu (dalej: Inny Podmiot Przetwarzający) oraz Podwykonawcom, w drodze pisemnej umowy dalszego przetwarzania („Umowa podpowierzenia”), pod warunkiem uprzedniej akceptacji przez Zamawiającego lub braku jego sprzeciwu, który to sprzeciw Zamawiający może wyrazić w terminie 7 dni od dnia otrzymania stosownej informacji od Wykonawcy. Inny  Podmiot Przetwarzający lub Podwykonawca zapewnia wystarczające gwarancje wdrożenia odpowiednich środków technicznych i organizacyjnych tak, by przetwarzanie spełniało wymogi RODO i chroniło prawa osób, których dane dotyczą, Strony przyjmują, iż wskazane w ust. 15 Inne Podmioty Przetwarzające i Podwykonawcy są podmiotami, którym Wykonawca może powierzyć dalsze przetwarzanie danych osobowych i uzyskanie dodatkowej zgody Zamawiającego, o której mowa powyżej nie jest wymagane. Celem uniknięcia wątpliwości interpretacyjnych Strony zgodnie postanawiają, że osoby fizyczne współpracujące z Wykonawcą na podstawie umów cywilno-prawnych są traktowane jak personel Wykonawcy i nie stanowią Innych Podmiotów Przetwarzających. To samo dotyczy personelu Innego Podmiotu Przetwarzającego i Podwykonawcy, o ile podmioty te zostały zaakceptowane przez Zamawiającego.</w:t>
      </w:r>
    </w:p>
    <w:p>
      <w:pPr>
        <w:pStyle w:val="ListParagraph"/>
        <w:numPr>
          <w:ilvl w:val="0"/>
          <w:numId w:val="36"/>
        </w:numPr>
        <w:spacing w:before="0" w:after="0"/>
        <w:contextualSpacing/>
        <w:jc w:val="both"/>
        <w:rPr>
          <w:rFonts w:cs="Calibri" w:cstheme="minorHAnsi"/>
          <w:color w:val="auto"/>
        </w:rPr>
      </w:pPr>
      <w:r>
        <w:rPr>
          <w:rFonts w:cs="Calibri" w:cstheme="minorHAnsi"/>
          <w:color w:val="auto"/>
        </w:rPr>
        <w:t>Lista podmiotów zaakceptowanych przez Zamawiającego:</w:t>
      </w:r>
    </w:p>
    <w:p>
      <w:pPr>
        <w:pStyle w:val="ListParagraph"/>
        <w:numPr>
          <w:ilvl w:val="0"/>
          <w:numId w:val="38"/>
        </w:numPr>
        <w:spacing w:before="0" w:after="0"/>
        <w:contextualSpacing/>
        <w:jc w:val="both"/>
        <w:rPr>
          <w:rFonts w:cs="Calibri" w:cstheme="minorHAnsi"/>
          <w:color w:val="auto"/>
        </w:rPr>
      </w:pPr>
      <w:r>
        <w:rPr>
          <w:rFonts w:cs="Calibri" w:cstheme="minorHAnsi"/>
          <w:color w:val="auto"/>
        </w:rPr>
        <w:t>Inne Podmioty Przetwarzające: ………………... *[jeśli dotyczy]</w:t>
      </w:r>
    </w:p>
    <w:p>
      <w:pPr>
        <w:pStyle w:val="Normal"/>
        <w:spacing w:before="0" w:after="0"/>
        <w:ind w:left="708"/>
        <w:jc w:val="both"/>
        <w:rPr>
          <w:rFonts w:cs="Calibri" w:cstheme="minorHAnsi"/>
          <w:color w:val="auto"/>
        </w:rPr>
      </w:pPr>
      <w:r>
        <w:rPr>
          <w:rFonts w:cs="Calibri" w:cstheme="minorHAnsi"/>
          <w:color w:val="auto"/>
        </w:rPr>
        <w:t xml:space="preserve">Podmiot ten realizuje na rzecz Wykonawcy usługi bieżącego wsparcia dla działalności Wykonawcy, w szczególności usługi: wsparcia technicznego dla użytkowników, związane z utrzymaniem poczty, administrowania serwerami systemów i aplikacji wewnętrznych, kolokacji, tworzenia, wdrażania, administrowania  zasad i narzędzi cyberbezpieczeństwa, administrowanie narzędziami i obsługa incydentów cyberbezpieczeństwa, monitorowania cyberbezpieczeństwa. </w:t>
      </w:r>
    </w:p>
    <w:p>
      <w:pPr>
        <w:pStyle w:val="ListParagraph"/>
        <w:numPr>
          <w:ilvl w:val="0"/>
          <w:numId w:val="38"/>
        </w:numPr>
        <w:spacing w:before="0" w:after="0"/>
        <w:contextualSpacing/>
        <w:jc w:val="both"/>
        <w:rPr>
          <w:rFonts w:cs="" w:cstheme="minorBidi"/>
          <w:color w:val="auto"/>
        </w:rPr>
      </w:pPr>
      <w:r>
        <w:rPr>
          <w:rFonts w:cs="" w:cstheme="minorBidi"/>
          <w:color w:val="auto"/>
        </w:rPr>
        <w:t>Podwykonawcy: wskazani w Umowie Podstawowej, którym Wykonawca powierzył realizację części Umowy Podstawowej *[jeśli dotyczy]</w:t>
      </w:r>
    </w:p>
    <w:p>
      <w:pPr>
        <w:pStyle w:val="ListParagraph"/>
        <w:spacing w:before="0" w:after="0"/>
        <w:ind w:left="360"/>
        <w:contextualSpacing/>
        <w:jc w:val="both"/>
        <w:rPr>
          <w:rFonts w:cs="Calibri" w:cstheme="minorHAnsi"/>
          <w:color w:val="auto"/>
        </w:rPr>
      </w:pPr>
      <w:r>
        <w:rPr>
          <w:rFonts w:cs="Calibri" w:cstheme="minorHAnsi"/>
          <w:color w:val="auto"/>
        </w:rPr>
        <w:t>Zmiana ww. podmiotów zaakceptowanych przez Zamawiającego nie wymaga aneksu do Umowy, wymaga jednak uzyskania zgody Zamawiającego.</w:t>
      </w:r>
    </w:p>
    <w:p>
      <w:pPr>
        <w:pStyle w:val="ListParagraph"/>
        <w:numPr>
          <w:ilvl w:val="0"/>
          <w:numId w:val="36"/>
        </w:numPr>
        <w:spacing w:before="0" w:after="0"/>
        <w:contextualSpacing/>
        <w:jc w:val="both"/>
        <w:rPr>
          <w:rFonts w:cs="Calibri" w:cstheme="minorHAnsi"/>
          <w:color w:val="auto"/>
        </w:rPr>
      </w:pPr>
      <w:r>
        <w:rPr>
          <w:rFonts w:cs="Calibri" w:cstheme="minorHAnsi"/>
          <w:color w:val="auto"/>
        </w:rPr>
        <w:t xml:space="preserve">Wykonawca realizując zadania wynikające z Umowy i biorąc pod uwagę charakter świadczonych usług, w miarę możliwości udzieli pomocy Zamawiającemu w zakresie: </w:t>
      </w:r>
    </w:p>
    <w:p>
      <w:pPr>
        <w:pStyle w:val="ListParagraph"/>
        <w:numPr>
          <w:ilvl w:val="0"/>
          <w:numId w:val="37"/>
        </w:numPr>
        <w:spacing w:before="0" w:after="0"/>
        <w:contextualSpacing/>
        <w:jc w:val="both"/>
        <w:rPr>
          <w:rFonts w:cs="Calibri" w:cstheme="minorHAnsi"/>
          <w:color w:val="auto"/>
        </w:rPr>
      </w:pPr>
      <w:r>
        <w:rPr>
          <w:rFonts w:cs="Calibri" w:cstheme="minorHAnsi"/>
          <w:color w:val="auto"/>
        </w:rPr>
        <w:t xml:space="preserve">niezbędnego wsparcia w realizacji  obowiązku odpowiadania na żądania osoby, której dane dotyczą, w zakresie wykonywania jej praw określonych w rozdziale III RODO, </w:t>
      </w:r>
    </w:p>
    <w:p>
      <w:pPr>
        <w:pStyle w:val="ListParagraph"/>
        <w:numPr>
          <w:ilvl w:val="0"/>
          <w:numId w:val="37"/>
        </w:numPr>
        <w:spacing w:before="0" w:after="0"/>
        <w:contextualSpacing/>
        <w:jc w:val="both"/>
        <w:rPr>
          <w:rFonts w:cs="Calibri" w:cstheme="minorHAnsi"/>
          <w:color w:val="auto"/>
        </w:rPr>
      </w:pPr>
      <w:r>
        <w:rPr>
          <w:rFonts w:cs="Calibri" w:cstheme="minorHAnsi"/>
          <w:color w:val="auto"/>
        </w:rPr>
        <w:t>niezbędnego wsparcia w realizacji obowiązków wynikających z art. 32–36 RODO.</w:t>
      </w:r>
    </w:p>
    <w:p>
      <w:pPr>
        <w:pStyle w:val="ListParagraph"/>
        <w:numPr>
          <w:ilvl w:val="0"/>
          <w:numId w:val="36"/>
        </w:numPr>
        <w:spacing w:before="0" w:after="0"/>
        <w:contextualSpacing/>
        <w:jc w:val="both"/>
        <w:rPr>
          <w:rFonts w:cs="Calibri" w:cstheme="minorHAnsi"/>
          <w:color w:val="auto"/>
        </w:rPr>
      </w:pPr>
      <w:r>
        <w:rPr>
          <w:rFonts w:cs="Calibri" w:cstheme="minorHAnsi"/>
          <w:color w:val="auto"/>
        </w:rPr>
        <w:t xml:space="preserve"> </w:t>
      </w:r>
      <w:r>
        <w:rPr>
          <w:rFonts w:cs="Calibri" w:cstheme="minorHAnsi"/>
          <w:color w:val="auto"/>
        </w:rPr>
        <w:t xml:space="preserve">Wykonawca bezzwłocznie - nie później jednak niż w ciągu 48 godzin od jego wystąpienia - zgłosi na adres e-mail: …………….…. lub ……………………….. Zamawiającemu każde naruszenie danych osobowych powierzonych niniejszą Umową którego będzie uczestnikiem. </w:t>
      </w:r>
    </w:p>
    <w:p>
      <w:pPr>
        <w:pStyle w:val="ListParagraph"/>
        <w:numPr>
          <w:ilvl w:val="0"/>
          <w:numId w:val="36"/>
        </w:numPr>
        <w:spacing w:before="0" w:after="0"/>
        <w:contextualSpacing/>
        <w:jc w:val="both"/>
        <w:rPr>
          <w:rFonts w:cs="Calibri" w:cstheme="minorHAnsi"/>
          <w:color w:val="auto"/>
        </w:rPr>
      </w:pPr>
      <w:r>
        <w:rPr>
          <w:rFonts w:cs="Calibri" w:cstheme="minorHAnsi"/>
          <w:color w:val="auto"/>
        </w:rPr>
        <w:t>Wykonawca po zakończeniu przetwarzania danych osobowych w związku z realizacją wszystkich zobowiązań wynikających z Umowy Podstawowej,  niezwłocznie zwróci powierzone mu dane lub dokona ich usunięcia – adekwatnie do ustaleń z Zamawiającym. Czynności zwrotu i/lub usunięcia, każdorazowo winny zostać potwierdzane odpowiednio przez Strony.</w:t>
      </w:r>
    </w:p>
    <w:p>
      <w:pPr>
        <w:pStyle w:val="ListParagraph"/>
        <w:numPr>
          <w:ilvl w:val="0"/>
          <w:numId w:val="36"/>
        </w:numPr>
        <w:spacing w:before="0" w:after="0"/>
        <w:contextualSpacing/>
        <w:jc w:val="both"/>
        <w:rPr>
          <w:rFonts w:cs="Calibri" w:cstheme="minorHAnsi"/>
          <w:color w:val="auto"/>
        </w:rPr>
      </w:pPr>
      <w:r>
        <w:rPr>
          <w:rFonts w:cs="Calibri" w:cstheme="minorHAnsi"/>
          <w:color w:val="auto"/>
        </w:rPr>
        <w:t>Wykonawca zobowiązuje się udostępnić Zamawiającemu informacje niezbędne do wykazania spełnienia obowiązków określonych w artykule 28 RODO oraz umożliwia Zamawiającemu przeprowadzenie audytów w odniesieniu do danych przetwarzanych przez Wykonawcę w związku z realizacją przedmiotu Umowy.</w:t>
      </w:r>
    </w:p>
    <w:p>
      <w:pPr>
        <w:pStyle w:val="ListParagraph"/>
        <w:numPr>
          <w:ilvl w:val="0"/>
          <w:numId w:val="36"/>
        </w:numPr>
        <w:spacing w:before="0" w:after="0"/>
        <w:contextualSpacing/>
        <w:jc w:val="both"/>
        <w:rPr>
          <w:rFonts w:cs="Calibri" w:cstheme="minorHAnsi"/>
          <w:color w:val="auto"/>
        </w:rPr>
      </w:pPr>
      <w:r>
        <w:rPr>
          <w:rFonts w:cs="Calibri" w:cstheme="minorHAnsi"/>
          <w:color w:val="auto"/>
        </w:rPr>
        <w:t>Wykonawca oświadcza, iż na dzień zawarcia Umowy nie przekazuje danych osobowych powierzonych mu do przetwarzania do państw spoza EOG lub do organizacji międzynarodowych.</w:t>
      </w:r>
    </w:p>
    <w:p>
      <w:pPr>
        <w:pStyle w:val="Normal"/>
        <w:spacing w:before="0" w:after="0"/>
        <w:ind w:firstLine="360"/>
        <w:jc w:val="both"/>
        <w:rPr>
          <w:rFonts w:cs="Calibri" w:cstheme="minorHAnsi"/>
          <w:b/>
          <w:bCs/>
          <w:color w:val="auto"/>
        </w:rPr>
      </w:pPr>
      <w:r>
        <w:rPr>
          <w:rFonts w:cs="Calibri" w:cstheme="minorHAnsi"/>
          <w:b/>
          <w:bCs/>
          <w:color w:val="auto"/>
        </w:rPr>
      </w:r>
    </w:p>
    <w:p>
      <w:pPr>
        <w:pStyle w:val="Normal"/>
        <w:spacing w:before="0" w:after="0"/>
        <w:ind w:firstLine="360"/>
        <w:jc w:val="both"/>
        <w:rPr>
          <w:rFonts w:cs="Calibri" w:cstheme="minorHAnsi"/>
          <w:b/>
          <w:bCs/>
          <w:color w:val="auto"/>
        </w:rPr>
      </w:pPr>
      <w:r>
        <w:rPr>
          <w:rFonts w:cs="Calibri" w:cstheme="minorHAnsi"/>
          <w:b/>
          <w:bCs/>
          <w:color w:val="auto"/>
        </w:rPr>
      </w:r>
    </w:p>
    <w:p>
      <w:pPr>
        <w:pStyle w:val="Normal"/>
        <w:spacing w:before="0" w:after="0"/>
        <w:ind w:firstLine="360"/>
        <w:jc w:val="both"/>
        <w:rPr>
          <w:rFonts w:cs="Calibri" w:cstheme="minorHAnsi"/>
          <w:b/>
          <w:bCs/>
          <w:color w:val="auto"/>
        </w:rPr>
      </w:pPr>
      <w:r>
        <w:rPr>
          <w:rFonts w:cs="Calibri" w:cstheme="minorHAnsi"/>
          <w:b/>
          <w:bCs/>
          <w:color w:val="auto"/>
        </w:rPr>
        <w:t>Zamawiający</w:t>
        <w:tab/>
        <w:tab/>
        <w:tab/>
        <w:tab/>
        <w:tab/>
        <w:tab/>
        <w:tab/>
        <w:tab/>
        <w:t>Wykonawca</w:t>
      </w:r>
    </w:p>
    <w:p>
      <w:pPr>
        <w:pStyle w:val="Normal"/>
        <w:spacing w:before="0" w:after="0"/>
        <w:jc w:val="both"/>
        <w:rPr>
          <w:rFonts w:cs="Calibri" w:cstheme="minorHAnsi"/>
          <w:b/>
          <w:bCs/>
          <w:color w:val="auto"/>
        </w:rPr>
      </w:pPr>
      <w:r>
        <w:rPr>
          <w:rFonts w:cs="Calibri" w:cstheme="minorHAnsi"/>
          <w:b/>
          <w:bCs/>
          <w:color w:val="auto"/>
        </w:rPr>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ab/>
        <w:tab/>
        <w:tab/>
        <w:tab/>
        <w:tab/>
        <w:t>…………………………………………………….</w:t>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bCs/>
          <w:color w:val="auto"/>
        </w:rPr>
      </w:pPr>
      <w:r>
        <w:rPr>
          <w:rFonts w:cs="Calibri" w:cstheme="minorHAnsi"/>
          <w:b/>
          <w:bCs/>
          <w:color w:val="auto"/>
        </w:rPr>
        <w:t>ZAŁĄCZNIK DO UMOWY POWIERZENIA PRZETWARZANIA DANYCH OSOBOWYCH</w:t>
      </w:r>
    </w:p>
    <w:p>
      <w:pPr>
        <w:pStyle w:val="Normal"/>
        <w:spacing w:before="0" w:after="0"/>
        <w:jc w:val="center"/>
        <w:rPr>
          <w:rFonts w:cs="Calibri" w:cstheme="minorHAnsi"/>
          <w:b/>
          <w:bCs/>
          <w:color w:val="auto"/>
        </w:rPr>
      </w:pPr>
      <w:r>
        <w:rPr>
          <w:rFonts w:cs="Calibri" w:cstheme="minorHAnsi"/>
          <w:b/>
          <w:bCs/>
          <w:color w:val="auto"/>
        </w:rPr>
      </w:r>
    </w:p>
    <w:p>
      <w:pPr>
        <w:pStyle w:val="Normal"/>
        <w:spacing w:before="0" w:after="0"/>
        <w:jc w:val="center"/>
        <w:rPr>
          <w:rFonts w:cs="Calibri" w:cstheme="minorHAnsi"/>
          <w:b/>
          <w:bCs/>
          <w:color w:val="auto"/>
        </w:rPr>
      </w:pPr>
      <w:r>
        <w:rPr>
          <w:rFonts w:cs="Calibri" w:cstheme="minorHAnsi"/>
          <w:b/>
          <w:bCs/>
          <w:color w:val="auto"/>
        </w:rPr>
        <w:t>*[DO DOSTOSOWANIA ZGODNIE Z ZAKRESEM, KTÓRY ZAPEWNIA WYKONAWCA]</w:t>
      </w:r>
    </w:p>
    <w:p>
      <w:pPr>
        <w:pStyle w:val="Normal"/>
        <w:spacing w:before="0" w:after="0"/>
        <w:jc w:val="center"/>
        <w:rPr>
          <w:rFonts w:cs="Calibri" w:cstheme="minorHAnsi"/>
          <w:b/>
          <w:bCs/>
          <w:color w:val="auto"/>
        </w:rPr>
      </w:pPr>
      <w:r>
        <w:rPr>
          <w:rFonts w:cs="Calibri" w:cstheme="minorHAnsi"/>
          <w:b/>
          <w:bCs/>
          <w:color w:val="auto"/>
        </w:rPr>
      </w:r>
    </w:p>
    <w:p>
      <w:pPr>
        <w:pStyle w:val="Heading1"/>
        <w:spacing w:lineRule="auto" w:line="276" w:before="0" w:after="0"/>
        <w:jc w:val="both"/>
        <w:rPr>
          <w:rFonts w:ascii="Calibri" w:hAnsi="Calibri" w:eastAsia="" w:cs="Calibri" w:asciiTheme="minorHAnsi" w:cstheme="minorHAnsi" w:eastAsiaTheme="minorEastAsia" w:hAnsiTheme="minorHAnsi"/>
          <w:b/>
          <w:bCs/>
          <w:color w:val="auto"/>
          <w:sz w:val="22"/>
          <w:szCs w:val="22"/>
          <w:lang w:eastAsia="pl-PL"/>
        </w:rPr>
      </w:pPr>
      <w:r>
        <w:rPr>
          <w:rFonts w:eastAsia="" w:cs="Calibri" w:ascii="Calibri" w:hAnsi="Calibri" w:asciiTheme="minorHAnsi" w:cstheme="minorHAnsi" w:eastAsiaTheme="minorEastAsia" w:hAnsiTheme="minorHAnsi"/>
          <w:b/>
          <w:bCs/>
          <w:color w:val="auto"/>
          <w:sz w:val="22"/>
          <w:szCs w:val="22"/>
          <w:lang w:eastAsia="pl-PL"/>
        </w:rPr>
        <w:t>Lista głównych rozwiązań technicznych i organizacyjnych, zapewniających bezpieczne i prawidłowe</w:t>
      </w:r>
      <w:r>
        <w:rPr>
          <w:rFonts w:cs="Calibri" w:ascii="Calibri" w:hAnsi="Calibri" w:asciiTheme="minorHAnsi" w:cstheme="minorHAnsi" w:hAnsiTheme="minorHAnsi"/>
          <w:b/>
          <w:bCs/>
          <w:color w:val="auto"/>
          <w:sz w:val="22"/>
          <w:szCs w:val="22"/>
        </w:rPr>
        <w:t xml:space="preserve"> </w:t>
      </w:r>
      <w:r>
        <w:rPr>
          <w:rFonts w:eastAsia="" w:cs="Calibri" w:ascii="Calibri" w:hAnsi="Calibri" w:asciiTheme="minorHAnsi" w:cstheme="minorHAnsi" w:eastAsiaTheme="minorEastAsia" w:hAnsiTheme="minorHAnsi"/>
          <w:b/>
          <w:bCs/>
          <w:color w:val="auto"/>
          <w:sz w:val="22"/>
          <w:szCs w:val="22"/>
          <w:lang w:eastAsia="pl-PL"/>
        </w:rPr>
        <w:t>wykonywanie czynności oraz ochronę techniczną tajemnicy prawnie chronionej, w szczególności ochronę danych osobowych.</w:t>
      </w:r>
    </w:p>
    <w:p>
      <w:pPr>
        <w:pStyle w:val="Normal"/>
        <w:spacing w:before="0" w:after="0"/>
        <w:rPr>
          <w:rFonts w:cs="Calibri" w:cstheme="minorHAnsi"/>
          <w:color w:val="auto"/>
          <w:lang w:eastAsia="pl-PL"/>
        </w:rPr>
      </w:pPr>
      <w:r>
        <w:rPr>
          <w:rFonts w:cs="Calibri" w:cstheme="minorHAnsi"/>
          <w:color w:val="auto"/>
          <w:lang w:eastAsia="pl-PL"/>
        </w:rPr>
      </w:r>
    </w:p>
    <w:p>
      <w:pPr>
        <w:pStyle w:val="ACPTrerozdziau1"/>
        <w:numPr>
          <w:ilvl w:val="1"/>
          <w:numId w:val="128"/>
        </w:numPr>
        <w:spacing w:lineRule="auto" w:line="276" w:before="0" w:after="0"/>
        <w:rPr>
          <w:rFonts w:ascii="Calibri" w:hAnsi="Calibri" w:cs="Calibri" w:asciiTheme="minorHAnsi" w:cstheme="minorHAnsi" w:hAnsiTheme="minorHAnsi"/>
          <w:b/>
          <w:bCs/>
        </w:rPr>
      </w:pPr>
      <w:r>
        <w:rPr>
          <w:rFonts w:cs="Calibri" w:cstheme="minorHAnsi"/>
          <w:b/>
          <w:bCs/>
        </w:rPr>
        <w:t xml:space="preserve">ŚRODKI ORGANIZACYJNE: </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Została opracowana i wdrożona polityka bezpieczeństwa;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Organizowane są cykliczne szkolenia dla pracowników/współpracowników z zasad bezpieczeństwa informacji, cyberbezpieczeństwa oraz ochrony danych osobowych;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Realizowany jest zatwierdzony program podnoszenia świadomości z zakresu bezpieczeństwa informacji (szkolenia adaptacyjne, e-learning, pigułki wiedzy, szkolenia dedykowane, artykuły, symulowane ataki);</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Oświadczenia do zachowania w poufności wszelkich informacji stanowiących tajemnicę przedsiębiorstwa są podpisywane przez pracowników/współpracowników przed rozpoczęciem pracy w organizacji;</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Do przetwarzania informacji zostały dopuszczone wyłącznie uprawnione osoby;</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Dane są klasyfikowane zgodnie z wytycznymi spółki. Klasyfikacja wspierana jest narzędziowo. Informację sklasyfikowane jako poufne podlegają dodatkowej ochronie wykorzystując mechanizmy szyfrujące;</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Prowadzona jest ewidencja osób upoważnionych do przetwarzania danych osobowych;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Stosuje się politykę czystego biurka oraz czystego ekranu (blokowanie komputerów przy pustych stanowiskach, niepozostawanie dokumentacji na biurkach, zamykanie szafek z dokumentacją, itd.);</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Realizowane są regularne audyty\kontrole bezpieczeństwa przetwarzania informacji;</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Wdrożono skuteczny proces zgłaszania oraz obsługi zdarzeń/incydentów związanych z naruszeniem bezpieczeństwa informacji w tym naruszeniem ochrony danych osobowych;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Zdefiniowano i stosowana jest polityka kontroli dostęp do informacji. Przydzielanie uprawnień do informacji oraz ich modyfikacje realizowane są w oparciu o zasady minimalnych uprawnień i wiedzy koniecznej na postawie udokumentowanych wniosków dostępowych;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Utworzono i uruchomiono jednostkę SOC (Security Operation Center) pracującą w trybie 24/7/365 w celu monitorowania infrastruktury i reagowania na incydenty cyberbezpieczeństwa;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Opracowano i wdrożono wewnętrzne standardy bezpieczeństwa wymagające stosowania zabezpieczeń adekwatnych do stopnia krytyczności i wrażliwości aktywów informacyjnych;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Zidentyfikowano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Wprowadzono do stosowania politykę prywatności.</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Wprowadzono zasady bezpiecznej pracy zdalnej.</w:t>
      </w:r>
    </w:p>
    <w:p>
      <w:pPr>
        <w:pStyle w:val="ACPTrerozdziau2"/>
        <w:numPr>
          <w:ilvl w:val="0"/>
          <w:numId w:val="0"/>
        </w:numPr>
        <w:spacing w:lineRule="auto" w:line="276" w:before="0" w:after="0"/>
        <w:ind w:hanging="0" w:left="907"/>
        <w:rPr>
          <w:rFonts w:ascii="Calibri" w:hAnsi="Calibri" w:cs="Calibri" w:asciiTheme="minorHAnsi" w:cstheme="minorHAnsi" w:hAnsiTheme="minorHAnsi"/>
        </w:rPr>
      </w:pPr>
      <w:r>
        <w:rPr>
          <w:rFonts w:cs="Calibri" w:cstheme="minorHAnsi"/>
        </w:rPr>
      </w:r>
    </w:p>
    <w:p>
      <w:pPr>
        <w:pStyle w:val="ACPTrerozdziau1"/>
        <w:numPr>
          <w:ilvl w:val="1"/>
          <w:numId w:val="126"/>
        </w:numPr>
        <w:spacing w:lineRule="auto" w:line="276" w:before="0" w:after="0"/>
        <w:rPr>
          <w:rFonts w:ascii="Calibri" w:hAnsi="Calibri" w:cs="Calibri" w:asciiTheme="minorHAnsi" w:cstheme="minorHAnsi" w:hAnsiTheme="minorHAnsi"/>
          <w:b/>
          <w:bCs/>
        </w:rPr>
      </w:pPr>
      <w:r>
        <w:rPr>
          <w:rFonts w:cs="Calibri" w:cstheme="minorHAnsi"/>
          <w:b/>
          <w:bCs/>
        </w:rPr>
        <w:t>ŚRODKI OCHRONY TECHNICZNEJ DANYCH: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Stosowane są mechanizmy ochrony kont użytkowników identyfikujące podejrzane aktywności na ich kontach;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Logowanie do krytycznych usług realizowane jest z zastosowaniem dwuskładnikowego logowania;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Dostęp do informacji oraz systemu operacyjnego komputera, w którym przetwarzane są informacje sklasyfikowane jako poufne (np. dane osobowe),, zabezpieczony jest za pomocą procesu uwierzytelnienia z wykorzystaniem identyfikatora użytkownika oraz hasła. Stosowana jest silna polityka haseł dostępowych;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Komputery, na których dochodzi do przetwarzania danych:</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pracują pod kontrolą aktualnego, wspieranego przez producenta systemu operacyjnego,</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uruchomioną systemową zaporę sieciową,</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aktualne systemy do ochrony przed złośliwym oprogramowaniem klasy EDR,</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zaszyfrowane dyski twarde, przy pomocy silnych protokołów szyfrujących,</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wygaszacze ekranów zabezpieczone hasłem.</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są centralnie nadzorowane i konfigurowane przez organizację (SOC+SIEM).</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Stosowane są rozwiązanie do automatyzacji konfiguracji i zabezpieczania stacji roboczych oraz mechanizmy identyfikujące stacje niezgodne z przyjętymi standardami bezpieczeństwa;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Urządzenia mobilne (smartfon, tablet), na których dochodzi do przetwarzania informacji:</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pracują pod kontrolą aktualnego, wspieranego przez producenta systemu operacyjnego,</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zaszyfrowaną pamięć urządzenia,</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blokadę dostępu zabezpieczoną trudnym do odgadnięcia hasłem (litery i cyfry - najmniej 6 znaków), kodem PIN (minimum 6 cyfr), wzorem graficznym (minimum 6 znaków) lub zabezpieczeniem biometrycznym,</w:t>
      </w:r>
    </w:p>
    <w:p>
      <w:pPr>
        <w:pStyle w:val="ACPListaabc-poziom2"/>
        <w:numPr>
          <w:ilvl w:val="4"/>
          <w:numId w:val="126"/>
        </w:numPr>
        <w:spacing w:lineRule="auto" w:line="276" w:before="0" w:after="0"/>
        <w:rPr>
          <w:rFonts w:ascii="Calibri" w:hAnsi="Calibri" w:cs="Calibri" w:asciiTheme="minorHAnsi" w:cstheme="minorHAnsi" w:hAnsiTheme="minorHAnsi"/>
        </w:rPr>
      </w:pPr>
      <w:r>
        <w:rPr>
          <w:rFonts w:cs="Calibri" w:cstheme="minorHAnsi"/>
        </w:rPr>
        <w:t>posiadają automatyczną blokadę dostępu do urządzenia po czasie nie dłuższym niż 1 minuta.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Dane sklasyfikowane jako poufne są w sposób automatyczny szyfrowane i ograniczone w dostępie z wykorzystaniem dedykowanego rozwiązania do klasyfikacji i ochrony informacji;</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W uzasadnionych przypadkach stosowane są nośniki wymienne, które są szyfrowane (pendrive, CD/DVD, dysk zewnętrzny, itp.);</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Informacje utrwalone w formie papierowej przechowywane są w zamknięciu;</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Stosowany jest proces bezpiecznego niszczenia nośników informacji oparty na normie DIN 66399. Po ustaniu przydatności dokumentacja papierowa, magnetyczne dyski twarde oraz optyczne i elektroniczne nośniki danych podlegają procesowi bezpiecznego zniszczenia;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Zastosowano system rejestracji dostępu do systemu/bazy danych oraz użycia;</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Stosowany jest system Web Application Firewall do ochrony krytycznych aktywów informacyjnych Wykonawcy;</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Zastosowano system Firewall do ochrony dostępu do sieci komputerowej;</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Stosowane jest szyfrowanie komunikacji zewnętrznej oraz wewnętrznej przy pomocy silnych protokołów szyfrujących;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Identyfikowane są podatności systemów informatycznych. Ustalono proces zarządzania podatnościami technicznymi. Ustalono czasy remediacji podatności oraz ścieżki raportowania i eskalacji o przekroczeniach.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Zastosowano środki uniemożliwiające wykonywanie nieautoryzowanych kopii informacji wrażliwych;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Zastosowano narzędzia klasy EDR (Endpoint Detection and Response – EDR) w celu wykrywania i reagowania na podejrzane aktywności urządzeń końcowych.</w:t>
      </w:r>
    </w:p>
    <w:p>
      <w:pPr>
        <w:pStyle w:val="Normal"/>
        <w:spacing w:before="0" w:after="0"/>
        <w:rPr>
          <w:rFonts w:cs="Calibri" w:cstheme="minorHAnsi"/>
          <w:color w:val="auto"/>
        </w:rPr>
      </w:pPr>
      <w:r>
        <w:rPr>
          <w:rFonts w:cs="Calibri" w:cstheme="minorHAnsi"/>
          <w:color w:val="auto"/>
        </w:rPr>
      </w:r>
    </w:p>
    <w:p>
      <w:pPr>
        <w:pStyle w:val="ACPTrerozdziau1"/>
        <w:numPr>
          <w:ilvl w:val="1"/>
          <w:numId w:val="126"/>
        </w:numPr>
        <w:spacing w:lineRule="auto" w:line="276" w:before="0" w:after="0"/>
        <w:rPr>
          <w:rFonts w:ascii="Calibri" w:hAnsi="Calibri" w:cs="Calibri" w:asciiTheme="minorHAnsi" w:cstheme="minorHAnsi" w:hAnsiTheme="minorHAnsi"/>
          <w:b/>
          <w:bCs/>
        </w:rPr>
      </w:pPr>
      <w:r>
        <w:rPr>
          <w:rFonts w:cs="Calibri" w:cstheme="minorHAnsi"/>
          <w:b/>
          <w:bCs/>
        </w:rPr>
        <w:t>ŚRODKI OCHRONY FIZYCZNEJ DANYCH DLA OBIEKTÓW BIUROWYCH:</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Dostęp do pomieszczeń objęty jest systemem kontroli dostępu. Dostęp do stref Data Center mają tylko upoważnieni pracownicy Wykonawcy, którzy świadczą bezpośrednio usługi utrzymania systemów w Data Center.</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Pomieszczenia, w którym przetwarzane są informacje wyposażone są w system alarmowy przeciwwłamaniowy,</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Dostęp do pomieszczeń, w których przetwarzane są informacje, kontrolowany jest przez system monitoringu z zastosowaniem kamer,</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Dostęp do pomieszczeń, jest nadzorowany przez służbę ochrony. Funkcjonuje ochrona fizyczna obiektów Data Center w postaci koncesjonowanej służby ochrony. Uruchomiony jest elektroniczny monitoring wideo obiektów i stref bezpieczeństwa w obiektach, w trybie 24/365.</w:t>
      </w:r>
    </w:p>
    <w:p>
      <w:pPr>
        <w:pStyle w:val="ACPTrerozdziau2"/>
        <w:numPr>
          <w:ilvl w:val="2"/>
          <w:numId w:val="126"/>
        </w:numPr>
        <w:spacing w:lineRule="auto" w:line="276" w:before="0" w:after="0"/>
        <w:rPr>
          <w:rFonts w:ascii="Calibri" w:hAnsi="Calibri" w:cs="Calibri" w:asciiTheme="minorHAnsi" w:cstheme="minorHAnsi" w:hAnsiTheme="minorHAnsi"/>
        </w:rPr>
      </w:pPr>
      <w:r>
        <w:rPr>
          <w:rFonts w:cs="Calibri" w:cstheme="minorHAnsi"/>
        </w:rPr>
        <w:t>Zastosowano procedury zarządzania dostępem gości.</w:t>
      </w:r>
    </w:p>
    <w:p>
      <w:pPr>
        <w:pStyle w:val="Normal"/>
        <w:spacing w:before="0" w:after="0"/>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color w:val="auto"/>
        </w:rPr>
      </w:pPr>
      <w:r>
        <w:rPr>
          <w:rFonts w:cs="Calibri" w:cstheme="minorHAnsi"/>
          <w:b/>
          <w:color w:val="auto"/>
        </w:rPr>
        <w:t>ZAŁĄCZNIK NR 7</w:t>
      </w:r>
    </w:p>
    <w:p>
      <w:pPr>
        <w:pStyle w:val="Normal"/>
        <w:spacing w:before="0" w:after="0"/>
        <w:jc w:val="center"/>
        <w:rPr>
          <w:u w:val="single"/>
        </w:rPr>
      </w:pPr>
      <w:r>
        <w:rPr>
          <w:rFonts w:cs="Calibri" w:cstheme="minorHAnsi"/>
          <w:b/>
          <w:color w:val="auto"/>
          <w:u w:val="single"/>
        </w:rPr>
        <w:t>WZORY PROTOKOŁÓW</w:t>
      </w:r>
    </w:p>
    <w:p>
      <w:pPr>
        <w:pStyle w:val="Normal"/>
        <w:spacing w:before="0" w:after="0"/>
        <w:jc w:val="center"/>
        <w:rPr>
          <w:rFonts w:cs="Calibri" w:cstheme="minorHAnsi"/>
          <w:b/>
          <w:color w:val="auto"/>
        </w:rPr>
      </w:pPr>
      <w:r>
        <w:rPr>
          <w:rFonts w:cs="Calibri" w:cstheme="minorHAnsi"/>
          <w:b/>
          <w:color w:val="auto"/>
        </w:rPr>
      </w:r>
    </w:p>
    <w:p>
      <w:pPr>
        <w:pStyle w:val="Normal"/>
        <w:widowControl/>
        <w:suppressAutoHyphens w:val="true"/>
        <w:bidi w:val="0"/>
        <w:spacing w:lineRule="auto" w:line="262" w:before="0" w:after="5"/>
        <w:ind w:hanging="340" w:left="0" w:right="0"/>
        <w:jc w:val="center"/>
        <w:rPr/>
      </w:pPr>
      <w:r>
        <w:rPr>
          <w:rFonts w:cs="Tahoma" w:ascii="Tahoma" w:hAnsi="Tahoma"/>
          <w:b/>
          <w:bCs/>
          <w:color w:val="000000"/>
          <w:sz w:val="21"/>
          <w:szCs w:val="21"/>
          <w:u w:val="none"/>
          <w:shd w:fill="FFFFFF" w:val="clear"/>
        </w:rPr>
        <w:t>,,</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r>
        <w:rPr>
          <w:rFonts w:cs="Tahoma" w:ascii="Tahoma" w:hAnsi="Tahoma"/>
          <w:b/>
          <w:bCs/>
          <w:color w:val="000000"/>
          <w:sz w:val="21"/>
          <w:szCs w:val="21"/>
          <w:u w:val="none"/>
          <w:shd w:fill="FFFFFF" w:val="clear"/>
        </w:rPr>
        <w:t>”</w:t>
      </w:r>
    </w:p>
    <w:p>
      <w:pPr>
        <w:pStyle w:val="Normal"/>
        <w:widowControl/>
        <w:suppressAutoHyphens w:val="true"/>
        <w:bidi w:val="0"/>
        <w:spacing w:lineRule="auto" w:line="262" w:before="0" w:after="5"/>
        <w:ind w:hanging="340" w:left="0" w:right="0"/>
        <w:jc w:val="center"/>
        <w:rPr/>
      </w:pPr>
      <w:r>
        <w:rPr>
          <w:rFonts w:cs="Tahoma" w:ascii="Tahoma" w:hAnsi="Tahoma"/>
          <w:b w:val="false"/>
          <w:bCs w:val="false"/>
          <w:color w:val="00000A"/>
          <w:sz w:val="21"/>
          <w:szCs w:val="21"/>
          <w:u w:val="none"/>
          <w:shd w:fill="FFFFFF" w:val="clear"/>
          <w:lang w:eastAsia="en-US"/>
        </w:rPr>
        <w:t xml:space="preserve"> </w:t>
      </w:r>
      <w:r>
        <w:rPr>
          <w:rFonts w:cs="Tahoma" w:ascii="Tahoma" w:hAnsi="Tahoma"/>
          <w:b w:val="false"/>
          <w:bCs w:val="false"/>
          <w:color w:val="00000A"/>
          <w:sz w:val="21"/>
          <w:szCs w:val="21"/>
          <w:u w:val="none"/>
          <w:shd w:fill="FFFFFF" w:val="clear"/>
          <w:lang w:eastAsia="en-US"/>
        </w:rPr>
        <w:t>przedsięwzięcie pn.:</w:t>
      </w:r>
      <w:r>
        <w:rPr>
          <w:rFonts w:cs="Tahoma" w:ascii="Tahoma" w:hAnsi="Tahoma"/>
          <w:b/>
          <w:bCs/>
          <w:color w:val="00000A"/>
          <w:sz w:val="21"/>
          <w:szCs w:val="21"/>
          <w:u w:val="none"/>
          <w:shd w:fill="FFFFFF" w:val="clear"/>
          <w:lang w:eastAsia="en-US"/>
        </w:rPr>
        <w:t xml:space="preserve"> </w:t>
      </w:r>
    </w:p>
    <w:p>
      <w:pPr>
        <w:pStyle w:val="Normal"/>
        <w:widowControl/>
        <w:suppressAutoHyphens w:val="true"/>
        <w:bidi w:val="0"/>
        <w:spacing w:lineRule="auto" w:line="262" w:before="0" w:after="5"/>
        <w:ind w:hanging="340" w:left="0" w:right="0"/>
        <w:jc w:val="center"/>
        <w:rPr/>
      </w:pPr>
      <w:r>
        <w:rPr>
          <w:rStyle w:val="Strong"/>
          <w:rFonts w:eastAsia="Tahoma" w:cs="Tahoma" w:ascii="Tahoma" w:hAnsi="Tahoma"/>
          <w:b/>
          <w:bCs/>
          <w:color w:val="1B1B1B"/>
          <w:sz w:val="21"/>
          <w:szCs w:val="21"/>
          <w:u w:val="none"/>
          <w:shd w:fill="FFFFFF" w:val="clear"/>
          <w:lang w:eastAsia="en-US"/>
        </w:rPr>
        <w:t xml:space="preserve">Transformacja cyfrowa Szpitala Powiatowego im. Tadeusza Malińskiego w Śremie sp. z o. o., </w:t>
      </w:r>
      <w:r>
        <w:rPr>
          <w:rStyle w:val="Strong"/>
          <w:rFonts w:cs="Tahoma" w:ascii="Tahoma" w:hAnsi="Tahoma"/>
          <w:b/>
          <w:bCs/>
          <w:color w:val="000000"/>
          <w:sz w:val="21"/>
          <w:szCs w:val="21"/>
          <w:u w:val="none"/>
          <w:shd w:fill="FFFFFF" w:val="clear"/>
          <w:lang w:eastAsia="en-US"/>
        </w:rPr>
        <w:t xml:space="preserve">realizowane w ramach </w:t>
      </w:r>
      <w:r>
        <w:rPr>
          <w:rStyle w:val="Strong"/>
          <w:rFonts w:cs="Tahoma" w:ascii="Tahoma" w:hAnsi="Tahoma"/>
          <w:b/>
          <w:bCs/>
          <w:color w:val="1B1B1B"/>
          <w:sz w:val="21"/>
          <w:szCs w:val="21"/>
          <w:u w:val="none"/>
          <w:shd w:fill="FFFFFF" w:val="clear"/>
          <w:lang w:eastAsia="en-US"/>
        </w:rPr>
        <w:t>Krajowego Planu Odbudowy i Zwiększania Odporności -</w:t>
      </w:r>
      <w:r>
        <w:rPr>
          <w:rStyle w:val="Strong"/>
          <w:rFonts w:eastAsia="Tahoma" w:cs="Tahoma" w:ascii="Tahoma" w:hAnsi="Tahoma"/>
          <w:b/>
          <w:bCs/>
          <w:color w:val="000000"/>
          <w:sz w:val="21"/>
          <w:szCs w:val="21"/>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ascii="Tahoma" w:hAnsi="Tahoma"/>
          <w:b/>
          <w:bCs/>
          <w:color w:val="000000"/>
          <w:sz w:val="21"/>
          <w:szCs w:val="21"/>
          <w:u w:val="none"/>
          <w:shd w:fill="FFFFFF" w:val="clear"/>
          <w:lang w:eastAsia="pl-PL"/>
        </w:rPr>
        <w:t xml:space="preserve"> </w:t>
      </w:r>
    </w:p>
    <w:p>
      <w:pPr>
        <w:pStyle w:val="Normal"/>
        <w:widowControl/>
        <w:suppressAutoHyphens w:val="true"/>
        <w:bidi w:val="0"/>
        <w:spacing w:lineRule="auto" w:line="262" w:before="0" w:after="5"/>
        <w:ind w:hanging="340" w:left="0" w:right="0"/>
        <w:jc w:val="center"/>
        <w:rPr>
          <w:rFonts w:ascii="Tahoma" w:hAnsi="Tahoma" w:eastAsia="Tahoma" w:cs="Tahoma"/>
          <w:b/>
          <w:bCs/>
          <w:color w:val="000000"/>
          <w:sz w:val="21"/>
          <w:szCs w:val="21"/>
          <w:u w:val="none"/>
          <w:shd w:fill="FFFFFF" w:val="clear"/>
          <w:lang w:eastAsia="pl-PL"/>
        </w:rPr>
      </w:pPr>
      <w:r>
        <w:rPr>
          <w:rFonts w:eastAsia="Tahoma" w:cs="Tahoma" w:ascii="Tahoma" w:hAnsi="Tahoma"/>
          <w:b/>
          <w:bCs/>
          <w:color w:val="000000"/>
          <w:sz w:val="21"/>
          <w:szCs w:val="21"/>
          <w:u w:val="none"/>
          <w:shd w:fill="FFFFFF" w:val="clear"/>
          <w:lang w:eastAsia="pl-PL"/>
        </w:rPr>
        <w:t>ZP/9/PN/26</w:t>
      </w:r>
    </w:p>
    <w:p>
      <w:pPr>
        <w:pStyle w:val="Normal"/>
        <w:widowControl/>
        <w:suppressAutoHyphens w:val="true"/>
        <w:bidi w:val="0"/>
        <w:spacing w:lineRule="auto" w:line="262" w:before="0" w:after="5"/>
        <w:ind w:hanging="340" w:left="0" w:right="0"/>
        <w:jc w:val="center"/>
        <w:rPr>
          <w:rFonts w:ascii="Tahoma" w:hAnsi="Tahoma" w:eastAsia="Tahoma" w:cs="Tahoma"/>
          <w:b/>
          <w:bCs/>
          <w:color w:val="000000"/>
          <w:sz w:val="21"/>
          <w:szCs w:val="21"/>
          <w:u w:val="none"/>
          <w:shd w:fill="FFFFFF" w:val="clear"/>
          <w:lang w:eastAsia="pl-PL"/>
        </w:rPr>
      </w:pPr>
      <w:r>
        <w:rPr>
          <w:rFonts w:eastAsia="Tahoma" w:cs="Tahoma" w:ascii="Tahoma" w:hAnsi="Tahoma"/>
          <w:b/>
          <w:bCs/>
          <w:color w:val="000000"/>
          <w:sz w:val="21"/>
          <w:szCs w:val="21"/>
          <w:u w:val="none"/>
          <w:shd w:fill="FFFFFF" w:val="clear"/>
          <w:lang w:eastAsia="pl-PL"/>
        </w:rPr>
      </w:r>
    </w:p>
    <w:p>
      <w:pPr>
        <w:pStyle w:val="Normal"/>
        <w:spacing w:before="0" w:after="0"/>
        <w:jc w:val="center"/>
        <w:rPr>
          <w:rFonts w:cs="Calibri" w:cstheme="minorHAnsi"/>
          <w:b/>
          <w:color w:val="auto"/>
        </w:rPr>
      </w:pPr>
      <w:r>
        <w:rPr>
          <w:rFonts w:cs="Calibri" w:cstheme="minorHAnsi"/>
          <w:b/>
          <w:color w:val="auto"/>
        </w:rPr>
        <w:t>PROTOKÓŁ ODBIORU WDROŻENIA – PAKIET NR 1</w:t>
      </w:r>
    </w:p>
    <w:p>
      <w:pPr>
        <w:pStyle w:val="Normal"/>
        <w:spacing w:before="0" w:after="0"/>
        <w:jc w:val="center"/>
        <w:rPr>
          <w:rFonts w:cs="Calibri" w:cstheme="minorHAnsi"/>
          <w:b/>
          <w:i/>
          <w:color w:val="auto"/>
        </w:rPr>
      </w:pPr>
      <w:r>
        <w:rPr>
          <w:rFonts w:cs="Calibri" w:cstheme="minorHAnsi"/>
          <w:b/>
          <w:color w:val="auto"/>
        </w:rPr>
        <w:t>DO UMOWY NR …..</w:t>
      </w:r>
    </w:p>
    <w:p>
      <w:pPr>
        <w:pStyle w:val="Normal"/>
        <w:spacing w:before="0" w:after="0"/>
        <w:jc w:val="center"/>
        <w:rPr>
          <w:rFonts w:cs="Calibri" w:cstheme="minorHAnsi"/>
          <w:b/>
          <w:i/>
          <w:color w:val="auto"/>
        </w:rPr>
      </w:pPr>
      <w:r>
        <w:rPr>
          <w:rFonts w:cs="Calibri" w:cstheme="minorHAnsi"/>
          <w:b/>
          <w:i/>
          <w:color w:val="auto"/>
        </w:rPr>
      </w:r>
    </w:p>
    <w:p>
      <w:pPr>
        <w:pStyle w:val="Normal"/>
        <w:spacing w:before="0" w:after="0"/>
        <w:jc w:val="center"/>
        <w:rPr>
          <w:rFonts w:cs="Calibri" w:cstheme="minorHAnsi"/>
          <w:i/>
          <w:color w:val="auto"/>
        </w:rPr>
      </w:pPr>
      <w:r>
        <w:rPr>
          <w:rFonts w:cs="Calibri" w:cstheme="minorHAnsi"/>
          <w:i/>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Sporządzony dnia………………………………w ………………………. pomiędzy: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b/>
          <w:color w:val="auto"/>
        </w:rPr>
      </w:pPr>
      <w:r>
        <w:rPr>
          <w:rFonts w:cs="Calibri" w:cstheme="minorHAnsi"/>
          <w:color w:val="auto"/>
        </w:rPr>
        <w:t xml:space="preserve">zwanym dalej </w:t>
      </w:r>
      <w:r>
        <w:rPr>
          <w:rFonts w:cs="Calibri" w:cstheme="minorHAnsi"/>
          <w:b/>
          <w:color w:val="auto"/>
        </w:rPr>
        <w:t>Zamawiającym</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a</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zwanym dalej</w:t>
      </w:r>
      <w:r>
        <w:rPr>
          <w:rFonts w:cs="Calibri" w:cstheme="minorHAnsi"/>
          <w:b/>
          <w:color w:val="auto"/>
        </w:rPr>
        <w:t xml:space="preserve"> Wykonawcą.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Dnia ………………………………., Wykonawca zakończył realizację Wdrożenia zgodnie z Harmonogramem i Umową.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Zamawiający potwierdza odbiór Wdrożenia i poświadcza, że zostało ono zrealizowane należycie i zgodnie z Umową.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r>
    </w:p>
    <w:p>
      <w:pPr>
        <w:pStyle w:val="Normal"/>
        <w:widowControl w:val="false"/>
        <w:spacing w:before="0" w:after="0"/>
        <w:jc w:val="center"/>
        <w:rPr>
          <w:rFonts w:cs="Calibri" w:cstheme="minorHAnsi"/>
          <w:b/>
          <w:color w:val="auto"/>
        </w:rPr>
      </w:pPr>
      <w:r>
        <w:rPr>
          <w:rFonts w:cs="Calibri" w:cstheme="minorHAnsi"/>
          <w:b/>
          <w:color w:val="auto"/>
        </w:rPr>
        <w:t xml:space="preserve">Zamawiający: </w:t>
        <w:tab/>
        <w:tab/>
        <w:tab/>
        <w:tab/>
        <w:tab/>
        <w:tab/>
        <w:tab/>
        <w:t>Wykonawca:</w:t>
      </w:r>
    </w:p>
    <w:p>
      <w:pPr>
        <w:pStyle w:val="Normal"/>
        <w:spacing w:before="0" w:after="0"/>
        <w:jc w:val="center"/>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color w:val="auto"/>
        </w:rPr>
      </w:pPr>
      <w:r>
        <w:rPr>
          <w:rFonts w:cs="Calibri" w:cstheme="minorHAnsi"/>
          <w:b/>
          <w:color w:val="auto"/>
        </w:rPr>
      </w:r>
    </w:p>
    <w:p>
      <w:pPr>
        <w:pStyle w:val="Normal"/>
        <w:widowControl/>
        <w:suppressAutoHyphens w:val="true"/>
        <w:bidi w:val="0"/>
        <w:spacing w:lineRule="auto" w:line="262" w:before="0" w:after="5"/>
        <w:ind w:hanging="340" w:left="0" w:right="0"/>
        <w:jc w:val="center"/>
        <w:rPr/>
      </w:pPr>
      <w:r>
        <w:rPr>
          <w:rFonts w:cs="Tahoma" w:ascii="Tahoma" w:hAnsi="Tahoma"/>
          <w:b/>
          <w:bCs/>
          <w:color w:val="000000"/>
          <w:sz w:val="21"/>
          <w:szCs w:val="21"/>
          <w:u w:val="none"/>
          <w:shd w:fill="FFFFFF" w:val="clear"/>
        </w:rPr>
        <w:t>,,</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r>
        <w:rPr>
          <w:rFonts w:cs="Tahoma" w:ascii="Tahoma" w:hAnsi="Tahoma"/>
          <w:b/>
          <w:bCs/>
          <w:color w:val="000000"/>
          <w:sz w:val="21"/>
          <w:szCs w:val="21"/>
          <w:u w:val="none"/>
          <w:shd w:fill="FFFFFF" w:val="clear"/>
        </w:rPr>
        <w:t>”</w:t>
      </w:r>
    </w:p>
    <w:p>
      <w:pPr>
        <w:pStyle w:val="Normal"/>
        <w:widowControl/>
        <w:suppressAutoHyphens w:val="true"/>
        <w:bidi w:val="0"/>
        <w:spacing w:lineRule="auto" w:line="262" w:before="0" w:after="5"/>
        <w:ind w:hanging="340" w:left="0" w:right="0"/>
        <w:jc w:val="center"/>
        <w:rPr/>
      </w:pPr>
      <w:r>
        <w:rPr>
          <w:rFonts w:cs="Tahoma" w:ascii="Tahoma" w:hAnsi="Tahoma"/>
          <w:b w:val="false"/>
          <w:bCs w:val="false"/>
          <w:color w:val="00000A"/>
          <w:sz w:val="21"/>
          <w:szCs w:val="21"/>
          <w:u w:val="none"/>
          <w:shd w:fill="FFFFFF" w:val="clear"/>
          <w:lang w:eastAsia="en-US"/>
        </w:rPr>
        <w:t xml:space="preserve"> </w:t>
      </w:r>
      <w:r>
        <w:rPr>
          <w:rFonts w:cs="Tahoma" w:ascii="Tahoma" w:hAnsi="Tahoma"/>
          <w:b w:val="false"/>
          <w:bCs w:val="false"/>
          <w:color w:val="00000A"/>
          <w:sz w:val="21"/>
          <w:szCs w:val="21"/>
          <w:u w:val="none"/>
          <w:shd w:fill="FFFFFF" w:val="clear"/>
          <w:lang w:eastAsia="en-US"/>
        </w:rPr>
        <w:t>przedsięwzięcie pn.:</w:t>
      </w:r>
      <w:r>
        <w:rPr>
          <w:rFonts w:cs="Tahoma" w:ascii="Tahoma" w:hAnsi="Tahoma"/>
          <w:b/>
          <w:bCs/>
          <w:color w:val="00000A"/>
          <w:sz w:val="21"/>
          <w:szCs w:val="21"/>
          <w:u w:val="none"/>
          <w:shd w:fill="FFFFFF" w:val="clear"/>
          <w:lang w:eastAsia="en-US"/>
        </w:rPr>
        <w:t xml:space="preserve"> </w:t>
      </w:r>
    </w:p>
    <w:p>
      <w:pPr>
        <w:pStyle w:val="Normal"/>
        <w:widowControl/>
        <w:suppressAutoHyphens w:val="true"/>
        <w:bidi w:val="0"/>
        <w:spacing w:lineRule="auto" w:line="262" w:before="0" w:after="5"/>
        <w:ind w:hanging="340" w:left="0" w:right="0"/>
        <w:jc w:val="center"/>
        <w:rPr/>
      </w:pPr>
      <w:r>
        <w:rPr>
          <w:rStyle w:val="Strong"/>
          <w:rFonts w:eastAsia="Tahoma" w:cs="Tahoma" w:ascii="Tahoma" w:hAnsi="Tahoma"/>
          <w:b/>
          <w:bCs/>
          <w:color w:val="1B1B1B"/>
          <w:sz w:val="21"/>
          <w:szCs w:val="21"/>
          <w:u w:val="none"/>
          <w:shd w:fill="FFFFFF" w:val="clear"/>
          <w:lang w:eastAsia="en-US"/>
        </w:rPr>
        <w:t xml:space="preserve">Transformacja cyfrowa Szpitala Powiatowego im. Tadeusza Malińskiego w Śremie sp. z o. o., </w:t>
      </w:r>
      <w:r>
        <w:rPr>
          <w:rStyle w:val="Strong"/>
          <w:rFonts w:cs="Tahoma" w:ascii="Tahoma" w:hAnsi="Tahoma"/>
          <w:b/>
          <w:bCs/>
          <w:color w:val="000000"/>
          <w:sz w:val="21"/>
          <w:szCs w:val="21"/>
          <w:u w:val="none"/>
          <w:shd w:fill="FFFFFF" w:val="clear"/>
          <w:lang w:eastAsia="en-US"/>
        </w:rPr>
        <w:t xml:space="preserve">realizowane w ramach </w:t>
      </w:r>
      <w:r>
        <w:rPr>
          <w:rStyle w:val="Strong"/>
          <w:rFonts w:cs="Tahoma" w:ascii="Tahoma" w:hAnsi="Tahoma"/>
          <w:b/>
          <w:bCs/>
          <w:color w:val="1B1B1B"/>
          <w:sz w:val="21"/>
          <w:szCs w:val="21"/>
          <w:u w:val="none"/>
          <w:shd w:fill="FFFFFF" w:val="clear"/>
          <w:lang w:eastAsia="en-US"/>
        </w:rPr>
        <w:t>Krajowego Planu Odbudowy i Zwiększania Odporności -</w:t>
      </w:r>
      <w:r>
        <w:rPr>
          <w:rStyle w:val="Strong"/>
          <w:rFonts w:eastAsia="Tahoma" w:cs="Tahoma" w:ascii="Tahoma" w:hAnsi="Tahoma"/>
          <w:b/>
          <w:bCs/>
          <w:color w:val="000000"/>
          <w:sz w:val="21"/>
          <w:szCs w:val="21"/>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ascii="Tahoma" w:hAnsi="Tahoma"/>
          <w:b/>
          <w:bCs/>
          <w:color w:val="000000"/>
          <w:sz w:val="21"/>
          <w:szCs w:val="21"/>
          <w:u w:val="none"/>
          <w:shd w:fill="FFFFFF" w:val="clear"/>
          <w:lang w:eastAsia="pl-PL"/>
        </w:rPr>
        <w:t xml:space="preserve"> </w:t>
      </w:r>
    </w:p>
    <w:p>
      <w:pPr>
        <w:pStyle w:val="Normal"/>
        <w:widowControl/>
        <w:suppressAutoHyphens w:val="true"/>
        <w:bidi w:val="0"/>
        <w:spacing w:lineRule="auto" w:line="262" w:before="0" w:after="5"/>
        <w:ind w:hanging="340" w:left="0" w:right="0"/>
        <w:jc w:val="center"/>
        <w:rPr>
          <w:rFonts w:ascii="Tahoma" w:hAnsi="Tahoma" w:eastAsia="Tahoma" w:cs="Tahoma"/>
          <w:b/>
          <w:bCs/>
          <w:color w:val="000000"/>
          <w:sz w:val="21"/>
          <w:szCs w:val="21"/>
          <w:u w:val="none"/>
          <w:shd w:fill="FFFFFF" w:val="clear"/>
          <w:lang w:eastAsia="pl-PL"/>
        </w:rPr>
      </w:pPr>
      <w:r>
        <w:rPr>
          <w:rFonts w:eastAsia="Tahoma" w:cs="Tahoma" w:ascii="Tahoma" w:hAnsi="Tahoma"/>
          <w:b/>
          <w:bCs/>
          <w:color w:val="000000"/>
          <w:sz w:val="21"/>
          <w:szCs w:val="21"/>
          <w:u w:val="none"/>
          <w:shd w:fill="FFFFFF" w:val="clear"/>
          <w:lang w:eastAsia="pl-PL"/>
        </w:rPr>
        <w:t>ZP/9/PN/26</w:t>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t>PROTOKÓŁ ODBIORU PRZEDMIOTU UMOWY – PAKIET NR 1</w:t>
      </w:r>
    </w:p>
    <w:p>
      <w:pPr>
        <w:pStyle w:val="Normal"/>
        <w:spacing w:before="0" w:after="0"/>
        <w:jc w:val="center"/>
        <w:rPr>
          <w:rFonts w:cs="Calibri" w:cstheme="minorHAnsi"/>
          <w:b/>
          <w:i/>
          <w:color w:val="auto"/>
        </w:rPr>
      </w:pPr>
      <w:r>
        <w:rPr>
          <w:rFonts w:cs="Calibri" w:cstheme="minorHAnsi"/>
          <w:b/>
          <w:color w:val="auto"/>
        </w:rPr>
        <w:t>DO UMOWY NR …..</w:t>
      </w:r>
    </w:p>
    <w:p>
      <w:pPr>
        <w:pStyle w:val="Normal"/>
        <w:spacing w:before="0" w:after="0"/>
        <w:jc w:val="center"/>
        <w:rPr>
          <w:rFonts w:cs="Calibri" w:cstheme="minorHAnsi"/>
          <w:b/>
          <w:i/>
          <w:color w:val="auto"/>
        </w:rPr>
      </w:pPr>
      <w:r>
        <w:rPr>
          <w:rFonts w:cs="Calibri" w:cstheme="minorHAnsi"/>
          <w:b/>
          <w:i/>
          <w:color w:val="auto"/>
        </w:rPr>
      </w:r>
    </w:p>
    <w:p>
      <w:pPr>
        <w:pStyle w:val="Normal"/>
        <w:spacing w:before="0" w:after="0"/>
        <w:jc w:val="center"/>
        <w:rPr>
          <w:rFonts w:cs="Calibri" w:cstheme="minorHAnsi"/>
          <w:i/>
          <w:color w:val="auto"/>
        </w:rPr>
      </w:pPr>
      <w:r>
        <w:rPr>
          <w:rFonts w:cs="Calibri" w:cstheme="minorHAnsi"/>
          <w:i/>
          <w:color w:val="auto"/>
        </w:rPr>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Sporządzony dnia………………………………w ………………………. pomiędzy: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b/>
          <w:color w:val="auto"/>
        </w:rPr>
      </w:pPr>
      <w:r>
        <w:rPr>
          <w:rFonts w:cs="Calibri" w:cstheme="minorHAnsi"/>
          <w:color w:val="auto"/>
        </w:rPr>
        <w:t xml:space="preserve">zwanym dalej </w:t>
      </w:r>
      <w:r>
        <w:rPr>
          <w:rFonts w:cs="Calibri" w:cstheme="minorHAnsi"/>
          <w:b/>
          <w:color w:val="auto"/>
        </w:rPr>
        <w:t>Zamawiającym</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a</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zwanym dalej</w:t>
      </w:r>
      <w:r>
        <w:rPr>
          <w:rFonts w:cs="Calibri" w:cstheme="minorHAnsi"/>
          <w:b/>
          <w:color w:val="auto"/>
        </w:rPr>
        <w:t xml:space="preserve"> Wykonawcą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Dnia ………………………………. Wykonawca wykonał Przedmiot Umowy.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1. Przedmiot Umowy został zrealizowany należycie i zgodnie z Umową.</w:t>
      </w:r>
    </w:p>
    <w:p>
      <w:pPr>
        <w:pStyle w:val="Normal"/>
        <w:spacing w:before="0" w:after="0"/>
        <w:jc w:val="both"/>
        <w:rPr>
          <w:rFonts w:cs="Calibri" w:cstheme="minorHAnsi"/>
          <w:color w:val="auto"/>
        </w:rPr>
      </w:pPr>
      <w:r>
        <w:rPr>
          <w:rFonts w:cs="Calibri" w:cstheme="minorHAnsi"/>
          <w:color w:val="auto"/>
        </w:rPr>
        <w:t>2. Zamawiający dokonał Odbioru Wdrożenia na podstawie odrębnego protokołu (Protokołu Wdrożenia).</w:t>
      </w:r>
    </w:p>
    <w:p>
      <w:pPr>
        <w:pStyle w:val="Normal"/>
        <w:spacing w:before="0" w:after="0"/>
        <w:jc w:val="both"/>
        <w:rPr>
          <w:rFonts w:cs="Calibri" w:cstheme="minorHAnsi"/>
          <w:color w:val="auto"/>
        </w:rPr>
      </w:pPr>
      <w:r>
        <w:rPr>
          <w:rFonts w:cs="Calibri" w:cstheme="minorHAnsi"/>
          <w:color w:val="auto"/>
        </w:rPr>
        <w:t>3. Wykonawca dostarczył Dokumentację Powykonawczą i certyfikaty licencyjne.</w:t>
      </w:r>
    </w:p>
    <w:p>
      <w:pPr>
        <w:pStyle w:val="Normal"/>
        <w:spacing w:before="0" w:after="0"/>
        <w:jc w:val="both"/>
        <w:rPr>
          <w:rFonts w:cs="Calibri" w:cstheme="minorHAnsi"/>
          <w:color w:val="auto"/>
        </w:rPr>
      </w:pPr>
      <w:r>
        <w:rPr>
          <w:rFonts w:cs="Calibri" w:cstheme="minorHAnsi"/>
          <w:color w:val="auto"/>
        </w:rPr>
        <w:t xml:space="preserve">4. Zamawiający potwierdza odbiór Dokumentacji Powykonawczej i certyfikatów licencyjnych. </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Protokół stanowi podstawę do wystawienia przez Wykonawcę faktury na kwotę wskazaną w Umowie.</w:t>
      </w:r>
    </w:p>
    <w:p>
      <w:pPr>
        <w:pStyle w:val="Normal"/>
        <w:spacing w:before="0" w:after="0"/>
        <w:jc w:val="both"/>
        <w:rPr>
          <w:rFonts w:cs="Calibri" w:cstheme="minorHAnsi"/>
          <w:color w:val="auto"/>
        </w:rPr>
      </w:pPr>
      <w:r>
        <w:rPr>
          <w:rFonts w:cs="Calibri" w:cstheme="minorHAnsi"/>
          <w:color w:val="auto"/>
        </w:rPr>
      </w:r>
    </w:p>
    <w:p>
      <w:pPr>
        <w:pStyle w:val="Normal"/>
        <w:widowControl w:val="false"/>
        <w:spacing w:before="0" w:after="0"/>
        <w:jc w:val="center"/>
        <w:rPr>
          <w:rFonts w:cs="Calibri" w:cstheme="minorHAnsi"/>
          <w:b/>
          <w:color w:val="auto"/>
        </w:rPr>
      </w:pPr>
      <w:r>
        <w:rPr>
          <w:rFonts w:cs="Calibri" w:cstheme="minorHAnsi"/>
          <w:b/>
          <w:color w:val="auto"/>
        </w:rPr>
      </w:r>
    </w:p>
    <w:p>
      <w:pPr>
        <w:pStyle w:val="Normal"/>
        <w:widowControl w:val="false"/>
        <w:spacing w:before="0" w:after="0"/>
        <w:jc w:val="center"/>
        <w:rPr>
          <w:rFonts w:cs="Calibri" w:cstheme="minorHAnsi"/>
          <w:b/>
          <w:color w:val="auto"/>
        </w:rPr>
      </w:pPr>
      <w:r>
        <w:rPr>
          <w:rFonts w:cs="Calibri" w:cstheme="minorHAnsi"/>
          <w:b/>
          <w:color w:val="auto"/>
        </w:rPr>
        <w:t xml:space="preserve">Zamawiający: </w:t>
        <w:tab/>
        <w:tab/>
        <w:tab/>
        <w:tab/>
        <w:tab/>
        <w:tab/>
        <w:tab/>
        <w:t>Wykonawca:</w:t>
      </w:r>
    </w:p>
    <w:p>
      <w:pPr>
        <w:pStyle w:val="Normal"/>
        <w:spacing w:before="0" w:after="0"/>
        <w:rPr>
          <w:rFonts w:cs="Calibri" w:cstheme="minorHAnsi"/>
          <w:b/>
          <w:color w:val="auto"/>
        </w:rPr>
      </w:pPr>
      <w:r>
        <w:rPr>
          <w:rFonts w:cs="Calibri" w:cstheme="minorHAnsi"/>
          <w:b/>
          <w:color w:val="auto"/>
        </w:rPr>
      </w:r>
      <w:r>
        <w:br w:type="page"/>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r>
    </w:p>
    <w:p>
      <w:pPr>
        <w:pStyle w:val="Normal"/>
        <w:widowControl/>
        <w:suppressAutoHyphens w:val="true"/>
        <w:bidi w:val="0"/>
        <w:spacing w:lineRule="auto" w:line="262" w:before="0" w:after="5"/>
        <w:ind w:hanging="340" w:left="0" w:right="0"/>
        <w:jc w:val="center"/>
        <w:rPr/>
      </w:pPr>
      <w:r>
        <w:rPr>
          <w:rFonts w:cs="Tahoma" w:ascii="Tahoma" w:hAnsi="Tahoma"/>
          <w:b/>
          <w:bCs/>
          <w:color w:val="000000"/>
          <w:sz w:val="21"/>
          <w:szCs w:val="21"/>
          <w:u w:val="none"/>
          <w:shd w:fill="FFFFFF" w:val="clear"/>
        </w:rPr>
        <w:t>,,</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 cz.</w:t>
      </w:r>
      <w:r>
        <w:rPr>
          <w:rFonts w:cs="Tahoma" w:ascii="Tahoma" w:hAnsi="Tahoma"/>
          <w:b/>
          <w:bCs/>
          <w:color w:val="000000"/>
          <w:sz w:val="21"/>
          <w:szCs w:val="21"/>
          <w:u w:val="none"/>
          <w:shd w:fill="FFFFFF" w:val="clear"/>
        </w:rPr>
        <w:t>”</w:t>
      </w:r>
    </w:p>
    <w:p>
      <w:pPr>
        <w:pStyle w:val="Normal"/>
        <w:widowControl/>
        <w:suppressAutoHyphens w:val="true"/>
        <w:bidi w:val="0"/>
        <w:spacing w:lineRule="auto" w:line="262" w:before="0" w:after="5"/>
        <w:ind w:hanging="340" w:left="0" w:right="0"/>
        <w:jc w:val="center"/>
        <w:rPr/>
      </w:pPr>
      <w:r>
        <w:rPr>
          <w:rFonts w:cs="Tahoma" w:ascii="Tahoma" w:hAnsi="Tahoma"/>
          <w:b w:val="false"/>
          <w:bCs w:val="false"/>
          <w:color w:val="00000A"/>
          <w:sz w:val="21"/>
          <w:szCs w:val="21"/>
          <w:u w:val="none"/>
          <w:shd w:fill="FFFFFF" w:val="clear"/>
          <w:lang w:eastAsia="en-US"/>
        </w:rPr>
        <w:t xml:space="preserve"> </w:t>
      </w:r>
      <w:r>
        <w:rPr>
          <w:rFonts w:cs="Tahoma" w:ascii="Tahoma" w:hAnsi="Tahoma"/>
          <w:b w:val="false"/>
          <w:bCs w:val="false"/>
          <w:color w:val="00000A"/>
          <w:sz w:val="21"/>
          <w:szCs w:val="21"/>
          <w:u w:val="none"/>
          <w:shd w:fill="FFFFFF" w:val="clear"/>
          <w:lang w:eastAsia="en-US"/>
        </w:rPr>
        <w:t>przedsięwzięcie pn.:</w:t>
      </w:r>
      <w:r>
        <w:rPr>
          <w:rFonts w:cs="Tahoma" w:ascii="Tahoma" w:hAnsi="Tahoma"/>
          <w:b/>
          <w:bCs/>
          <w:color w:val="00000A"/>
          <w:sz w:val="21"/>
          <w:szCs w:val="21"/>
          <w:u w:val="none"/>
          <w:shd w:fill="FFFFFF" w:val="clear"/>
          <w:lang w:eastAsia="en-US"/>
        </w:rPr>
        <w:t xml:space="preserve"> </w:t>
      </w:r>
    </w:p>
    <w:p>
      <w:pPr>
        <w:pStyle w:val="Normal"/>
        <w:widowControl/>
        <w:suppressAutoHyphens w:val="true"/>
        <w:bidi w:val="0"/>
        <w:spacing w:lineRule="auto" w:line="262" w:before="0" w:after="5"/>
        <w:ind w:hanging="340" w:left="0" w:right="0"/>
        <w:jc w:val="center"/>
        <w:rPr/>
      </w:pPr>
      <w:r>
        <w:rPr>
          <w:rStyle w:val="Strong"/>
          <w:rFonts w:eastAsia="Tahoma" w:cs="Tahoma" w:ascii="Tahoma" w:hAnsi="Tahoma"/>
          <w:b/>
          <w:bCs/>
          <w:color w:val="1B1B1B"/>
          <w:sz w:val="21"/>
          <w:szCs w:val="21"/>
          <w:u w:val="none"/>
          <w:shd w:fill="FFFFFF" w:val="clear"/>
          <w:lang w:eastAsia="en-US"/>
        </w:rPr>
        <w:t xml:space="preserve">Transformacja cyfrowa Szpitala Powiatowego im. Tadeusza Malińskiego w Śremie sp. z o. o., </w:t>
      </w:r>
      <w:r>
        <w:rPr>
          <w:rStyle w:val="Strong"/>
          <w:rFonts w:cs="Tahoma" w:ascii="Tahoma" w:hAnsi="Tahoma"/>
          <w:b/>
          <w:bCs/>
          <w:color w:val="000000"/>
          <w:sz w:val="21"/>
          <w:szCs w:val="21"/>
          <w:u w:val="none"/>
          <w:shd w:fill="FFFFFF" w:val="clear"/>
          <w:lang w:eastAsia="en-US"/>
        </w:rPr>
        <w:t xml:space="preserve">realizowane w ramach </w:t>
      </w:r>
      <w:r>
        <w:rPr>
          <w:rStyle w:val="Strong"/>
          <w:rFonts w:cs="Tahoma" w:ascii="Tahoma" w:hAnsi="Tahoma"/>
          <w:b/>
          <w:bCs/>
          <w:color w:val="1B1B1B"/>
          <w:sz w:val="21"/>
          <w:szCs w:val="21"/>
          <w:u w:val="none"/>
          <w:shd w:fill="FFFFFF" w:val="clear"/>
          <w:lang w:eastAsia="en-US"/>
        </w:rPr>
        <w:t>Krajowego Planu Odbudowy i Zwiększania Odporności -</w:t>
      </w:r>
      <w:r>
        <w:rPr>
          <w:rStyle w:val="Strong"/>
          <w:rFonts w:eastAsia="Tahoma" w:cs="Tahoma" w:ascii="Tahoma" w:hAnsi="Tahoma"/>
          <w:b/>
          <w:bCs/>
          <w:color w:val="000000"/>
          <w:sz w:val="21"/>
          <w:szCs w:val="21"/>
          <w:u w:val="none"/>
          <w:shd w:fill="FFFFFF" w:val="clear"/>
          <w:lang w:eastAsia="pl-PL"/>
        </w:rPr>
        <w:t>Komponent D „Efektywność, dostępność i jakość systemu ochrony zdrowia” Inwestycja D1.1.2 „Przyspieszenie procesów transformacji cyfrowej ochrony zdrowia poprzez dalszy rozwój usług cyfrowych w ochronie zdrowia”</w:t>
      </w:r>
      <w:r>
        <w:rPr>
          <w:rFonts w:eastAsia="Tahoma" w:cs="Tahoma" w:ascii="Tahoma" w:hAnsi="Tahoma"/>
          <w:b/>
          <w:bCs/>
          <w:color w:val="000000"/>
          <w:sz w:val="21"/>
          <w:szCs w:val="21"/>
          <w:u w:val="none"/>
          <w:shd w:fill="FFFFFF" w:val="clear"/>
          <w:lang w:eastAsia="pl-PL"/>
        </w:rPr>
        <w:t xml:space="preserve"> </w:t>
      </w:r>
    </w:p>
    <w:p>
      <w:pPr>
        <w:pStyle w:val="Normal"/>
        <w:widowControl/>
        <w:suppressAutoHyphens w:val="true"/>
        <w:bidi w:val="0"/>
        <w:spacing w:lineRule="auto" w:line="262" w:before="0" w:after="5"/>
        <w:ind w:hanging="340" w:left="0" w:right="0"/>
        <w:jc w:val="center"/>
        <w:rPr>
          <w:rFonts w:ascii="Tahoma" w:hAnsi="Tahoma" w:eastAsia="Tahoma" w:cs="Tahoma"/>
          <w:b/>
          <w:bCs/>
          <w:color w:val="000000"/>
          <w:sz w:val="21"/>
          <w:szCs w:val="21"/>
          <w:u w:val="none"/>
          <w:shd w:fill="FFFFFF" w:val="clear"/>
          <w:lang w:eastAsia="pl-PL"/>
        </w:rPr>
      </w:pPr>
      <w:r>
        <w:rPr>
          <w:rFonts w:eastAsia="Tahoma" w:cs="Tahoma" w:ascii="Tahoma" w:hAnsi="Tahoma"/>
          <w:b/>
          <w:bCs/>
          <w:color w:val="000000"/>
          <w:sz w:val="21"/>
          <w:szCs w:val="21"/>
          <w:u w:val="none"/>
          <w:shd w:fill="FFFFFF" w:val="clear"/>
          <w:lang w:eastAsia="pl-PL"/>
        </w:rPr>
        <w:t>ZP/9/PN/26</w:t>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r>
    </w:p>
    <w:p>
      <w:pPr>
        <w:pStyle w:val="Normal"/>
        <w:spacing w:before="0" w:after="0"/>
        <w:jc w:val="center"/>
        <w:rPr>
          <w:rFonts w:cs="Calibri" w:cstheme="minorHAnsi"/>
          <w:b/>
          <w:color w:val="auto"/>
        </w:rPr>
      </w:pPr>
      <w:r>
        <w:rPr>
          <w:rFonts w:cs="Calibri" w:cstheme="minorHAnsi"/>
          <w:b/>
          <w:color w:val="auto"/>
        </w:rPr>
        <w:t>PROTOKÓŁ STANU ZAAWANSOWANIA PRAC – PAKIET NR 1</w:t>
      </w:r>
    </w:p>
    <w:p>
      <w:pPr>
        <w:pStyle w:val="Normal"/>
        <w:spacing w:before="0" w:after="0"/>
        <w:jc w:val="center"/>
        <w:rPr>
          <w:rFonts w:cs="Calibri" w:cstheme="minorHAnsi"/>
          <w:b/>
          <w:i/>
          <w:color w:val="auto"/>
        </w:rPr>
      </w:pPr>
      <w:r>
        <w:rPr>
          <w:rFonts w:cs="Calibri" w:cstheme="minorHAnsi"/>
          <w:b/>
          <w:color w:val="auto"/>
        </w:rPr>
        <w:t>DO UMOWY NR …..</w:t>
      </w:r>
    </w:p>
    <w:p>
      <w:pPr>
        <w:pStyle w:val="Normal"/>
        <w:spacing w:before="0" w:after="0"/>
        <w:jc w:val="center"/>
        <w:rPr>
          <w:rFonts w:cs="Calibri" w:cstheme="minorHAnsi"/>
          <w:b/>
          <w:i/>
          <w:color w:val="auto"/>
        </w:rPr>
      </w:pPr>
      <w:r>
        <w:rPr>
          <w:rFonts w:cs="Calibri" w:cstheme="minorHAnsi"/>
          <w:b/>
          <w:i/>
          <w:color w:val="auto"/>
        </w:rPr>
      </w:r>
    </w:p>
    <w:p>
      <w:pPr>
        <w:pStyle w:val="Normal"/>
        <w:spacing w:before="0" w:after="0"/>
        <w:jc w:val="center"/>
        <w:rPr>
          <w:rFonts w:cs="Calibri" w:cstheme="minorHAnsi"/>
          <w:i/>
          <w:color w:val="auto"/>
        </w:rPr>
      </w:pPr>
      <w:r>
        <w:rPr>
          <w:rFonts w:cs="Calibri" w:cstheme="minorHAnsi"/>
          <w:i/>
          <w:color w:val="auto"/>
        </w:rPr>
      </w:r>
    </w:p>
    <w:p>
      <w:pPr>
        <w:pStyle w:val="Normal"/>
        <w:spacing w:before="0" w:after="0"/>
        <w:jc w:val="both"/>
        <w:rPr>
          <w:rFonts w:cs="Calibri" w:cstheme="minorHAnsi"/>
          <w:color w:val="auto"/>
        </w:rPr>
      </w:pPr>
      <w:r>
        <w:rPr>
          <w:rFonts w:cs="Calibri" w:cstheme="minorHAnsi"/>
          <w:color w:val="auto"/>
        </w:rPr>
        <w:t>Sporządzony dnia………………………………w ………………………. pomiędzy: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p>
    <w:p>
      <w:pPr>
        <w:pStyle w:val="Normal"/>
        <w:spacing w:before="0" w:after="0"/>
        <w:jc w:val="both"/>
        <w:rPr>
          <w:rFonts w:cs="Calibri" w:cstheme="minorHAnsi"/>
          <w:b/>
          <w:color w:val="auto"/>
        </w:rPr>
      </w:pPr>
      <w:r>
        <w:rPr>
          <w:rFonts w:cs="Calibri" w:cstheme="minorHAnsi"/>
          <w:color w:val="auto"/>
        </w:rPr>
        <w:t xml:space="preserve">zwanym dalej </w:t>
      </w:r>
      <w:r>
        <w:rPr>
          <w:rFonts w:cs="Calibri" w:cstheme="minorHAnsi"/>
          <w:b/>
          <w:color w:val="auto"/>
        </w:rPr>
        <w:t>Zamawiającym</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a</w:t>
      </w:r>
    </w:p>
    <w:p>
      <w:pPr>
        <w:pStyle w:val="Normal"/>
        <w:spacing w:before="0" w:after="0"/>
        <w:jc w:val="both"/>
        <w:rPr>
          <w:rFonts w:cs="Calibri" w:cstheme="minorHAnsi"/>
          <w:color w:val="auto"/>
        </w:rPr>
      </w:pPr>
      <w:r>
        <w:rPr>
          <w:rFonts w:cs="Calibri" w:cstheme="minorHAnsi"/>
          <w:b/>
          <w:color w:val="auto"/>
        </w:rPr>
        <w:t>…</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color w:val="auto"/>
        </w:rPr>
      </w:pPr>
      <w:r>
        <w:rPr>
          <w:rFonts w:cs="Calibri" w:cstheme="minorHAnsi"/>
          <w:color w:val="auto"/>
        </w:rPr>
        <w:t>zwanym dalej</w:t>
      </w:r>
      <w:r>
        <w:rPr>
          <w:rFonts w:cs="Calibri" w:cstheme="minorHAnsi"/>
          <w:b/>
          <w:color w:val="auto"/>
        </w:rPr>
        <w:t xml:space="preserve"> Wykonawcą</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Ze względu na sytuację opisaną Umowie, Strony  potwierdzają, że do dnia………….. zostały zrealizowane przez Wykonawcę następujące czynności:</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r>
    </w:p>
    <w:p>
      <w:pPr>
        <w:pStyle w:val="Normal"/>
        <w:spacing w:before="0" w:after="0"/>
        <w:jc w:val="both"/>
        <w:rPr>
          <w:rFonts w:cs="Calibri" w:cstheme="minorHAnsi"/>
          <w:color w:val="auto"/>
        </w:rPr>
      </w:pPr>
      <w:r>
        <w:rPr>
          <w:rFonts w:cs="Calibri" w:cstheme="minorHAnsi"/>
          <w:color w:val="auto"/>
        </w:rPr>
        <w:t>………………………</w:t>
      </w:r>
      <w:r>
        <w:rPr>
          <w:rFonts w:cs="Calibri" w:cstheme="minorHAnsi"/>
          <w:color w:val="auto"/>
        </w:rPr>
        <w:t>.</w:t>
        <w:tab/>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Strony zgodnie postanawiają, że za realizację ww. czynności Wykonawcy należy się wynagrodzenie w kwocie ……………………. netto, powiększone o podatek VAT obowiązujący w chwili wykonania usługi.</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Faktura VAT za wykonanie ww. usług zostanie wystawiona na zasadach ogólnych. Termin płatności wynosi 14 dni od daty wystawienia faktury VAT.</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Ww. czynności zostały zrealizowane w sposób prawidłowy.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color w:val="auto"/>
        </w:rPr>
      </w:pPr>
      <w:r>
        <w:rPr>
          <w:rFonts w:cs="Calibri" w:cstheme="minorHAnsi"/>
          <w:color w:val="auto"/>
        </w:rPr>
        <w:t>Zamawiający nie zgłasza żadnych roszczeń do jakości wykonanych przez Wykonawcę usług.</w:t>
      </w:r>
    </w:p>
    <w:p>
      <w:pPr>
        <w:pStyle w:val="Normal"/>
        <w:spacing w:before="0" w:after="0"/>
        <w:jc w:val="both"/>
        <w:rPr>
          <w:rFonts w:cs="Calibri" w:cstheme="minorHAnsi"/>
          <w:color w:val="auto"/>
        </w:rPr>
      </w:pPr>
      <w:r>
        <w:rPr>
          <w:rFonts w:cs="Calibri" w:cstheme="minorHAnsi"/>
          <w:color w:val="auto"/>
        </w:rPr>
      </w:r>
    </w:p>
    <w:p>
      <w:pPr>
        <w:pStyle w:val="Normal"/>
        <w:widowControl w:val="false"/>
        <w:spacing w:before="0" w:after="0"/>
        <w:jc w:val="center"/>
        <w:rPr>
          <w:rFonts w:cs="Calibri" w:cstheme="minorHAnsi"/>
          <w:b/>
          <w:color w:val="auto"/>
        </w:rPr>
      </w:pPr>
      <w:r>
        <w:rPr>
          <w:rFonts w:cs="Calibri" w:cstheme="minorHAnsi"/>
          <w:b/>
          <w:color w:val="auto"/>
        </w:rPr>
        <w:t xml:space="preserve">Zamawiający: </w:t>
        <w:tab/>
        <w:tab/>
        <w:tab/>
        <w:tab/>
        <w:tab/>
        <w:tab/>
        <w:tab/>
        <w:t>Wykonawca:</w:t>
      </w:r>
    </w:p>
    <w:p>
      <w:pPr>
        <w:pStyle w:val="Normal"/>
        <w:spacing w:before="0" w:after="0"/>
        <w:jc w:val="center"/>
        <w:rPr>
          <w:rFonts w:cs="Calibri" w:cstheme="minorHAnsi"/>
          <w:i/>
          <w:color w:val="auto"/>
        </w:rPr>
      </w:pPr>
      <w:r>
        <w:rPr>
          <w:rFonts w:cs="Calibri" w:cstheme="minorHAnsi"/>
          <w:i/>
          <w:color w:val="auto"/>
        </w:rPr>
      </w:r>
    </w:p>
    <w:p>
      <w:pPr>
        <w:pStyle w:val="Normal"/>
        <w:spacing w:before="0" w:after="0"/>
        <w:rPr>
          <w:rFonts w:cs="Calibri" w:cstheme="minorHAnsi"/>
          <w:color w:val="auto"/>
        </w:rPr>
      </w:pPr>
      <w:r>
        <w:rPr>
          <w:rFonts w:cs="Calibri" w:cstheme="minorHAnsi"/>
          <w:color w:val="auto"/>
        </w:rPr>
      </w:r>
      <w:r>
        <w:br w:type="page"/>
      </w:r>
    </w:p>
    <w:p>
      <w:pPr>
        <w:pStyle w:val="Normal"/>
        <w:spacing w:before="0" w:after="0"/>
        <w:jc w:val="center"/>
        <w:rPr>
          <w:rFonts w:cs="Calibri" w:cstheme="minorHAnsi"/>
          <w:b/>
          <w:color w:val="auto"/>
        </w:rPr>
      </w:pPr>
      <w:r>
        <w:rPr>
          <w:rFonts w:cs="Calibri" w:cstheme="minorHAnsi"/>
          <w:b/>
          <w:color w:val="auto"/>
        </w:rPr>
        <w:t>ZAŁACZNIK NR 8</w:t>
      </w:r>
    </w:p>
    <w:p>
      <w:pPr>
        <w:pStyle w:val="Normal"/>
        <w:spacing w:before="0" w:after="0"/>
        <w:jc w:val="center"/>
        <w:rPr>
          <w:rFonts w:cs="Calibri" w:cstheme="minorHAnsi"/>
          <w:b/>
          <w:color w:val="auto"/>
        </w:rPr>
      </w:pPr>
      <w:r>
        <w:rPr>
          <w:rFonts w:cs="Calibri" w:cstheme="minorHAnsi"/>
          <w:b/>
          <w:color w:val="auto"/>
        </w:rPr>
        <w:t>KLAUZULA INFORMACYJNA WYKONAWCY</w:t>
      </w:r>
    </w:p>
    <w:p>
      <w:pPr>
        <w:pStyle w:val="Normal"/>
        <w:spacing w:before="0" w:after="0"/>
        <w:jc w:val="center"/>
        <w:rPr>
          <w:rFonts w:cs="Calibri" w:cstheme="minorHAnsi"/>
          <w:b/>
          <w:color w:val="auto"/>
        </w:rPr>
      </w:pPr>
      <w:r>
        <w:rPr>
          <w:rFonts w:cs="Calibri" w:cstheme="minorHAnsi"/>
          <w:b/>
          <w:color w:val="auto"/>
        </w:rPr>
      </w:r>
    </w:p>
    <w:p>
      <w:pPr>
        <w:pStyle w:val="Normal"/>
        <w:spacing w:before="0" w:after="0"/>
        <w:rPr>
          <w:rFonts w:cs="Calibri" w:cstheme="minorHAnsi"/>
          <w:b/>
          <w:color w:val="auto"/>
        </w:rPr>
      </w:pPr>
      <w:r>
        <w:rPr>
          <w:rFonts w:cs="Calibri" w:cstheme="minorHAnsi"/>
          <w:b/>
          <w:color w:val="auto"/>
        </w:rPr>
        <w:t>Klauzula informacyjna dla osób wskazanych do kontaktu w celu realizacji Umowy</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Administrator danych:</w:t>
      </w:r>
    </w:p>
    <w:p>
      <w:pPr>
        <w:pStyle w:val="Normal"/>
        <w:spacing w:before="0" w:after="0"/>
        <w:jc w:val="both"/>
        <w:rPr>
          <w:rFonts w:cs="Calibri" w:cstheme="minorHAnsi"/>
          <w:color w:val="auto"/>
        </w:rPr>
      </w:pPr>
      <w:r>
        <w:rPr>
          <w:rFonts w:cs="Calibri" w:cstheme="minorHAnsi"/>
          <w:color w:val="auto"/>
        </w:rPr>
        <w:t>Administratorem Pani/Pana danych jest ……... z siedzibą w …… przy ul. …….. (administrator).</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b/>
          <w:color w:val="auto"/>
        </w:rPr>
        <w:t>Dane kontaktowe:</w:t>
      </w:r>
    </w:p>
    <w:p>
      <w:pPr>
        <w:pStyle w:val="Normal"/>
        <w:spacing w:before="0" w:after="0"/>
        <w:jc w:val="both"/>
        <w:rPr>
          <w:rFonts w:cs="Calibri" w:cstheme="minorHAnsi"/>
          <w:color w:val="auto"/>
        </w:rPr>
      </w:pPr>
      <w:r>
        <w:rPr>
          <w:rFonts w:cs="Calibri" w:cstheme="minorHAnsi"/>
          <w:color w:val="auto"/>
        </w:rPr>
        <w:t>Z administratorem można się skontaktować poprzez e-mail: ……. lub pisemnie na adres siedziby administratora.</w:t>
      </w:r>
    </w:p>
    <w:p>
      <w:pPr>
        <w:pStyle w:val="Normal"/>
        <w:spacing w:before="0" w:after="0"/>
        <w:jc w:val="both"/>
        <w:rPr>
          <w:rFonts w:cs="Calibri" w:cstheme="minorHAnsi"/>
          <w:color w:val="auto"/>
        </w:rPr>
      </w:pPr>
      <w:r>
        <w:rPr>
          <w:rFonts w:cs="Calibri" w:cstheme="minorHAnsi"/>
          <w:color w:val="auto"/>
        </w:rPr>
        <w:t>Z inspektorem ochrony danych można się kontaktować we wszystkich sprawach dotyczących przetwarzania danych osobowych oraz korzystania z praw związanych z przetwarzaniem danych.</w:t>
      </w:r>
    </w:p>
    <w:p>
      <w:pPr>
        <w:pStyle w:val="Normal"/>
        <w:spacing w:before="0" w:after="0"/>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b/>
          <w:color w:val="auto"/>
        </w:rPr>
        <w:t>Cele oraz podstawa prawna przetwarzania danych, prawnie uzasadnione interesy administratora:</w:t>
      </w:r>
    </w:p>
    <w:p>
      <w:pPr>
        <w:pStyle w:val="Normal"/>
        <w:spacing w:before="0" w:after="0"/>
        <w:jc w:val="both"/>
        <w:rPr>
          <w:rFonts w:cs="Calibri" w:cstheme="minorHAnsi"/>
          <w:color w:val="auto"/>
        </w:rPr>
      </w:pPr>
      <w:r>
        <w:rPr>
          <w:rFonts w:cs="Calibri" w:cstheme="minorHAnsi"/>
          <w:color w:val="auto"/>
        </w:rPr>
        <w:t>Pani/Pana dane osobowe będą przetwarzane w celu wykonania umowy zawartej pomiędzy administratorem a …………. a także – w zakresie prawnie usprawiedliwionego interesu administratora – w celu ustalenia, dochodzenia lub obrony przed roszczeniami z umowy, na podstawie odpowiednio art. 6 ust. 1 lit. c oraz art. 6 ust. 1 lit. f Rozporządzenia Parlamentu Europejskiego i Rady (UE) 2016/679 z dnia 27 kwietnia 2016 roku w sprawie ochrony osób fizycznych w związku z przetwarzaniem danych osobowych i w sprawie swobodnego przepływu takich danych oraz uchylenia dyrektywy 95/46/WE (RODO). Podstawą prawną przetwarzania danych jest niezbędność przetwarzania do realizacji prawnie uzasadnionego interesu administratora. Uzasadnionym interesem administratora jest możliwość wykonywania umów z kontrahentami oraz możliwość kontaktowania się w związku z wykonywaniem umowy.</w:t>
      </w:r>
    </w:p>
    <w:p>
      <w:pPr>
        <w:pStyle w:val="Normal"/>
        <w:spacing w:before="0" w:after="0"/>
        <w:jc w:val="both"/>
        <w:rPr>
          <w:rFonts w:cs="Calibri" w:cstheme="minorHAnsi"/>
          <w:color w:val="auto"/>
        </w:rPr>
      </w:pPr>
      <w:r>
        <w:rPr>
          <w:rFonts w:cs="Calibri" w:cstheme="minorHAnsi"/>
          <w:color w:val="auto"/>
        </w:rPr>
      </w:r>
    </w:p>
    <w:p>
      <w:pPr>
        <w:pStyle w:val="Normal"/>
        <w:spacing w:before="0" w:after="0"/>
        <w:jc w:val="both"/>
        <w:rPr>
          <w:rFonts w:cs="Calibri" w:cstheme="minorHAnsi"/>
          <w:b/>
          <w:color w:val="auto"/>
        </w:rPr>
      </w:pPr>
      <w:r>
        <w:rPr>
          <w:rFonts w:cs="Calibri" w:cstheme="minorHAnsi"/>
          <w:b/>
          <w:color w:val="auto"/>
        </w:rPr>
        <w:t>Źródła i zakres danych pozyskiwanych od podmiotów trzecich:</w:t>
      </w:r>
    </w:p>
    <w:p>
      <w:pPr>
        <w:pStyle w:val="Normal"/>
        <w:spacing w:before="0" w:after="0"/>
        <w:jc w:val="both"/>
        <w:rPr>
          <w:rFonts w:cs="Calibri" w:cstheme="minorHAnsi"/>
          <w:color w:val="auto"/>
        </w:rPr>
      </w:pPr>
      <w:r>
        <w:rPr>
          <w:rFonts w:cs="Calibri" w:cstheme="minorHAnsi"/>
          <w:color w:val="auto"/>
        </w:rPr>
        <w:t>Administrator pozyskał Pani/Pana dane osobowe: imię, nazwisko, stanowisko, nazwa i adres firmy, nr telefonu, adres e-mail od …………</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b/>
          <w:color w:val="auto"/>
        </w:rPr>
      </w:pPr>
      <w:r>
        <w:rPr>
          <w:rFonts w:cs="Calibri" w:cstheme="minorHAnsi"/>
          <w:b/>
          <w:color w:val="auto"/>
        </w:rPr>
        <w:t>Okres, przez który dane będą przetwarzane:</w:t>
      </w:r>
    </w:p>
    <w:p>
      <w:pPr>
        <w:pStyle w:val="Normal"/>
        <w:spacing w:before="0" w:after="0"/>
        <w:jc w:val="both"/>
        <w:rPr>
          <w:rFonts w:cs="Calibri" w:cstheme="minorHAnsi"/>
          <w:b/>
          <w:color w:val="auto"/>
        </w:rPr>
      </w:pPr>
      <w:r>
        <w:rPr>
          <w:rFonts w:cs="Calibri" w:cstheme="minorHAnsi"/>
          <w:color w:val="auto"/>
        </w:rPr>
        <w:t xml:space="preserve">Pani/Pana dane osobowe będą przechowywane do momentu przedawnienia roszczeń z tytułu umowy zawartej pomiędzy administratorem a </w:t>
      </w:r>
      <w:r>
        <w:rPr>
          <w:rFonts w:cs="Calibri" w:cstheme="minorHAnsi"/>
          <w:b/>
          <w:color w:val="auto"/>
        </w:rPr>
        <w:t>…………</w:t>
      </w:r>
    </w:p>
    <w:p>
      <w:pPr>
        <w:pStyle w:val="Normal"/>
        <w:spacing w:before="0" w:after="0"/>
        <w:jc w:val="both"/>
        <w:rPr>
          <w:rFonts w:cs="Calibri" w:cstheme="minorHAnsi"/>
          <w:b/>
          <w:color w:val="auto"/>
        </w:rPr>
      </w:pPr>
      <w:r>
        <w:rPr>
          <w:rFonts w:cs="Calibri" w:cstheme="minorHAnsi"/>
          <w:b/>
          <w:color w:val="auto"/>
        </w:rPr>
      </w:r>
    </w:p>
    <w:p>
      <w:pPr>
        <w:pStyle w:val="Normal"/>
        <w:spacing w:before="0" w:after="0"/>
        <w:jc w:val="both"/>
        <w:rPr>
          <w:rFonts w:cs="Calibri" w:cstheme="minorHAnsi"/>
          <w:b/>
          <w:color w:val="auto"/>
        </w:rPr>
      </w:pPr>
      <w:r>
        <w:rPr>
          <w:rFonts w:cs="Calibri" w:cstheme="minorHAnsi"/>
          <w:b/>
          <w:color w:val="auto"/>
        </w:rPr>
        <w:t>Odbiorcy danych:</w:t>
      </w:r>
    </w:p>
    <w:p>
      <w:pPr>
        <w:pStyle w:val="Normal"/>
        <w:spacing w:before="0" w:after="0"/>
        <w:jc w:val="both"/>
        <w:rPr>
          <w:rFonts w:cs="Calibri" w:cstheme="minorHAnsi"/>
          <w:color w:val="auto"/>
        </w:rPr>
      </w:pPr>
      <w:r>
        <w:rPr>
          <w:rFonts w:cs="Calibri" w:cstheme="minorHAnsi"/>
          <w:color w:val="auto"/>
        </w:rPr>
        <w:t>Pani/Pana dane mogą:</w:t>
      </w:r>
    </w:p>
    <w:p>
      <w:pPr>
        <w:pStyle w:val="Normal"/>
        <w:numPr>
          <w:ilvl w:val="0"/>
          <w:numId w:val="35"/>
        </w:numPr>
        <w:tabs>
          <w:tab w:val="left" w:pos="708" w:leader="none"/>
        </w:tabs>
        <w:spacing w:before="0" w:after="0"/>
        <w:contextualSpacing/>
        <w:jc w:val="both"/>
        <w:rPr>
          <w:rFonts w:cs="Calibri" w:cstheme="minorHAnsi"/>
          <w:color w:val="auto"/>
        </w:rPr>
      </w:pPr>
      <w:r>
        <w:rPr>
          <w:rFonts w:cs="Calibri" w:cstheme="minorHAnsi"/>
          <w:color w:val="auto"/>
        </w:rPr>
        <w:t>organom państwowym lub innym podmiotom uprawnionym na podstawie przepisów prawa,</w:t>
      </w:r>
    </w:p>
    <w:p>
      <w:pPr>
        <w:pStyle w:val="Normal"/>
        <w:numPr>
          <w:ilvl w:val="0"/>
          <w:numId w:val="35"/>
        </w:numPr>
        <w:tabs>
          <w:tab w:val="left" w:pos="708" w:leader="none"/>
        </w:tabs>
        <w:spacing w:before="0" w:after="0"/>
        <w:contextualSpacing/>
        <w:jc w:val="both"/>
        <w:rPr>
          <w:rFonts w:cs="Calibri" w:cstheme="minorHAnsi"/>
          <w:color w:val="auto"/>
        </w:rPr>
      </w:pPr>
      <w:r>
        <w:rPr>
          <w:rFonts w:cs="Calibri" w:cstheme="minorHAnsi"/>
          <w:color w:val="auto"/>
        </w:rPr>
        <w:t>osobom upoważnionym przez administratora,</w:t>
      </w:r>
    </w:p>
    <w:p>
      <w:pPr>
        <w:pStyle w:val="Normal"/>
        <w:numPr>
          <w:ilvl w:val="0"/>
          <w:numId w:val="35"/>
        </w:numPr>
        <w:tabs>
          <w:tab w:val="left" w:pos="708" w:leader="none"/>
        </w:tabs>
        <w:spacing w:before="0" w:after="0"/>
        <w:contextualSpacing/>
        <w:jc w:val="both"/>
        <w:rPr>
          <w:rFonts w:cs="Calibri" w:cstheme="minorHAnsi"/>
          <w:color w:val="auto"/>
        </w:rPr>
      </w:pPr>
      <w:r>
        <w:rPr>
          <w:rFonts w:cs="Calibri" w:cstheme="minorHAnsi"/>
          <w:color w:val="auto"/>
        </w:rPr>
        <w:t>podmiotom przetwarzającym dane osobowe na zlecenie administratora celem wykonania ciążących na administratorze obowiązków, m.in.:</w:t>
      </w:r>
    </w:p>
    <w:p>
      <w:pPr>
        <w:pStyle w:val="Normal"/>
        <w:numPr>
          <w:ilvl w:val="1"/>
          <w:numId w:val="35"/>
        </w:numPr>
        <w:tabs>
          <w:tab w:val="left" w:pos="708" w:leader="none"/>
        </w:tabs>
        <w:spacing w:before="0" w:after="0"/>
        <w:contextualSpacing/>
        <w:jc w:val="both"/>
        <w:rPr>
          <w:rFonts w:cs="Calibri" w:cstheme="minorHAnsi"/>
          <w:color w:val="auto"/>
        </w:rPr>
      </w:pPr>
      <w:r>
        <w:rPr>
          <w:rFonts w:cs="Calibri" w:cstheme="minorHAnsi"/>
          <w:color w:val="auto"/>
        </w:rPr>
        <w:t xml:space="preserve">podwykonawcom, </w:t>
      </w:r>
    </w:p>
    <w:p>
      <w:pPr>
        <w:pStyle w:val="Normal"/>
        <w:numPr>
          <w:ilvl w:val="1"/>
          <w:numId w:val="35"/>
        </w:numPr>
        <w:tabs>
          <w:tab w:val="left" w:pos="708" w:leader="none"/>
        </w:tabs>
        <w:spacing w:before="0" w:after="0"/>
        <w:contextualSpacing/>
        <w:jc w:val="both"/>
        <w:rPr>
          <w:rFonts w:cs="Calibri" w:cstheme="minorHAnsi"/>
          <w:color w:val="auto"/>
        </w:rPr>
      </w:pPr>
      <w:r>
        <w:rPr>
          <w:rFonts w:cs="Calibri" w:cstheme="minorHAnsi"/>
          <w:color w:val="auto"/>
        </w:rPr>
        <w:t xml:space="preserve">podmiotom prowadzącym działalność pocztową lub kurierską, </w:t>
      </w:r>
    </w:p>
    <w:p>
      <w:pPr>
        <w:pStyle w:val="Normal"/>
        <w:numPr>
          <w:ilvl w:val="0"/>
          <w:numId w:val="35"/>
        </w:numPr>
        <w:tabs>
          <w:tab w:val="left" w:pos="708" w:leader="none"/>
        </w:tabs>
        <w:spacing w:before="0" w:after="0"/>
        <w:contextualSpacing/>
        <w:jc w:val="both"/>
        <w:rPr>
          <w:rFonts w:cs="Calibri" w:cstheme="minorHAnsi"/>
          <w:color w:val="auto"/>
        </w:rPr>
      </w:pPr>
      <w:r>
        <w:rPr>
          <w:rFonts w:cs="Calibri" w:cstheme="minorHAnsi"/>
          <w:color w:val="auto"/>
        </w:rPr>
        <w:t xml:space="preserve">podmiotom wspierającym administratora w prowadzonej działalności na jego zlecenie, w szczególności dostawcom zewnętrznych systemów wspierającym działalność administratora, </w:t>
      </w:r>
    </w:p>
    <w:p>
      <w:pPr>
        <w:pStyle w:val="Normal"/>
        <w:spacing w:before="0" w:after="0"/>
        <w:rPr>
          <w:rFonts w:cs="Calibri" w:cstheme="minorHAnsi"/>
          <w:color w:val="auto"/>
        </w:rPr>
      </w:pPr>
      <w:r>
        <w:rPr>
          <w:rFonts w:cs="Calibri" w:cstheme="minorHAnsi"/>
          <w:color w:val="auto"/>
        </w:rPr>
        <w:t xml:space="preserve"> – </w:t>
      </w:r>
      <w:r>
        <w:rPr>
          <w:rFonts w:cs="Calibri" w:cstheme="minorHAnsi"/>
          <w:color w:val="auto"/>
        </w:rPr>
        <w:t xml:space="preserve">przy czym takie podmioty przetwarzają dane na podstawie umowy z administratorem i wyłącznie zgodnie z poleceniami administratora. </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Przekazywanie danych osobowych poza EOG:</w:t>
      </w:r>
    </w:p>
    <w:p>
      <w:pPr>
        <w:pStyle w:val="Normal"/>
        <w:spacing w:before="0" w:after="0"/>
        <w:jc w:val="both"/>
        <w:rPr>
          <w:rFonts w:cs="Calibri" w:cstheme="minorHAnsi"/>
          <w:color w:val="auto"/>
        </w:rPr>
      </w:pPr>
      <w:r>
        <w:rPr>
          <w:rFonts w:cs="Calibri" w:cstheme="minorHAnsi"/>
          <w:color w:val="auto"/>
        </w:rPr>
        <w:t>Dane osobowe będą przechowywane na serwerach zlokalizowanych w Unii Europejskiej i mogą być przekazane - na podstawie standardowych klauzul ochrony danych - do państwa trzeciego w związku z korzystaniem przez administratora z rozwiązań chmurowych dostarczanych przez firmę Microsoft. Stosowane przez Microsoft standardowe klauzule umowne zgodne z wzorcami zatwierdzonymi przez Komisję Europejską, dostępne są pod adresem: https://www.microsoft.com/en-us/licensing/product-licensing/products.aspx w części Product Terms.</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Prawa osoby, której dane dotyczą:</w:t>
      </w:r>
    </w:p>
    <w:p>
      <w:pPr>
        <w:pStyle w:val="Normal"/>
        <w:spacing w:before="0" w:after="0"/>
        <w:jc w:val="both"/>
        <w:rPr>
          <w:rFonts w:cs="Calibri" w:cstheme="minorHAnsi"/>
          <w:color w:val="auto"/>
        </w:rPr>
      </w:pPr>
      <w:r>
        <w:rPr>
          <w:rFonts w:cs="Calibri" w:cstheme="minorHAnsi"/>
          <w:color w:val="auto"/>
        </w:rPr>
        <w:t xml:space="preserve">Przysługuje Pani/Panu prawo dostępu do Pani/Pana danych oraz prawo żądania ich sprostowania, ich usunięcia lub ograniczenia ich przetwarzania. </w:t>
      </w:r>
    </w:p>
    <w:p>
      <w:pPr>
        <w:pStyle w:val="Normal"/>
        <w:spacing w:before="0" w:after="0"/>
        <w:jc w:val="both"/>
        <w:rPr>
          <w:rFonts w:cs="Calibri" w:cstheme="minorHAnsi"/>
          <w:color w:val="auto"/>
        </w:rPr>
      </w:pPr>
      <w:r>
        <w:rPr>
          <w:rFonts w:cs="Calibri" w:cstheme="minorHAnsi"/>
          <w:color w:val="auto"/>
        </w:rPr>
        <w:t>W zakresie, w jakim podstawą przetwarzania Pani/Pana danych osobowych jest przesłanka prawnie uzasadnionego interesu administratora, przysługuje Pani/Panu prawo wniesienia sprzeciwu wobec przetwarzania Pani/Pana danych osobowych.</w:t>
      </w:r>
    </w:p>
    <w:p>
      <w:pPr>
        <w:pStyle w:val="Normal"/>
        <w:spacing w:before="0" w:after="0"/>
        <w:jc w:val="both"/>
        <w:rPr>
          <w:rFonts w:cs="Calibri" w:cstheme="minorHAnsi"/>
          <w:color w:val="auto"/>
        </w:rPr>
      </w:pPr>
      <w:r>
        <w:rPr>
          <w:rFonts w:cs="Calibri" w:cstheme="minorHAnsi"/>
          <w:color w:val="auto"/>
        </w:rPr>
        <w:t xml:space="preserve">W celu skorzystania z powyższych praw należy skontaktować się z administratorem danych lub z inspektorem ochrony danych. </w:t>
      </w:r>
    </w:p>
    <w:p>
      <w:pPr>
        <w:pStyle w:val="Normal"/>
        <w:spacing w:before="0" w:after="0"/>
        <w:jc w:val="both"/>
        <w:rPr>
          <w:rFonts w:cs="Calibri" w:cstheme="minorHAnsi"/>
          <w:color w:val="auto"/>
        </w:rPr>
      </w:pPr>
      <w:r>
        <w:rPr>
          <w:rFonts w:cs="Calibri" w:cstheme="minorHAnsi"/>
          <w:color w:val="auto"/>
        </w:rPr>
        <w:t>Przysługuje Pani/Panu również prawo wniesienia skargi do organu nadzorczego zajmującego się ochroną danych osobowych.</w:t>
      </w:r>
    </w:p>
    <w:p>
      <w:pPr>
        <w:pStyle w:val="Normal"/>
        <w:spacing w:before="0" w:after="0"/>
        <w:rPr>
          <w:rFonts w:cs="Calibri" w:cstheme="minorHAnsi"/>
          <w:color w:val="auto"/>
        </w:rPr>
      </w:pPr>
      <w:r>
        <w:rPr>
          <w:rFonts w:cs="Calibri" w:cstheme="minorHAnsi"/>
          <w:color w:val="auto"/>
        </w:rPr>
      </w:r>
    </w:p>
    <w:p>
      <w:pPr>
        <w:pStyle w:val="Normal"/>
        <w:spacing w:before="0" w:after="0"/>
        <w:rPr>
          <w:rFonts w:cs="Calibri" w:cstheme="minorHAnsi"/>
          <w:b/>
          <w:color w:val="auto"/>
        </w:rPr>
      </w:pPr>
      <w:r>
        <w:rPr>
          <w:rFonts w:cs="Calibri" w:cstheme="minorHAnsi"/>
          <w:b/>
          <w:color w:val="auto"/>
        </w:rPr>
        <w:t>Profilowanie</w:t>
      </w:r>
    </w:p>
    <w:p>
      <w:pPr>
        <w:pStyle w:val="Normal"/>
        <w:spacing w:before="0" w:after="0"/>
        <w:jc w:val="both"/>
        <w:rPr>
          <w:rFonts w:cs="Calibri" w:cstheme="minorHAnsi"/>
          <w:color w:val="auto"/>
        </w:rPr>
      </w:pPr>
      <w:r>
        <w:rPr>
          <w:rFonts w:cs="Calibri" w:cstheme="minorHAnsi"/>
          <w:color w:val="auto"/>
        </w:rPr>
        <w:t>Informujemy, że nie podejmujemy decyzji w sposób zautomatyzowany i Pani/Pana dane nie są profilowane.</w:t>
      </w:r>
    </w:p>
    <w:sectPr>
      <w:headerReference w:type="even" r:id="rId15"/>
      <w:headerReference w:type="default" r:id="rId16"/>
      <w:headerReference w:type="first" r:id="rId17"/>
      <w:footerReference w:type="even" r:id="rId18"/>
      <w:footerReference w:type="default" r:id="rId19"/>
      <w:footerReference w:type="first" r:id="rId20"/>
      <w:footnotePr>
        <w:numFmt w:val="decimal"/>
      </w:footnotePr>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Times New Roman">
    <w:charset w:val="ee"/>
    <w:family w:val="roman"/>
    <w:pitch w:val="variable"/>
  </w:font>
  <w:font w:name="Tahoma">
    <w:charset w:val="ee"/>
    <w:family w:val="swiss"/>
    <w:pitch w:val="variable"/>
  </w:font>
  <w:font w:name="Liberation Sans">
    <w:altName w:val="Arial"/>
    <w:charset w:val="ee"/>
    <w:family w:val="swiss"/>
    <w:pitch w:val="variable"/>
  </w:font>
  <w:font w:name="Arial">
    <w:charset w:val="ee"/>
    <w:family w:val="swiss"/>
    <w:pitch w:val="variable"/>
  </w:font>
  <w:font w:name="Aptos">
    <w:charset w:val="ee"/>
    <w:family w:val="swiss"/>
    <w:pitch w:val="variable"/>
  </w:font>
  <w:font w:name="Aptos Narrow">
    <w:charset w:val="ee"/>
    <w:family w:val="swiss"/>
    <w:pitch w:val="variable"/>
  </w:font>
  <w:font w:name="Alef">
    <w:charset w:val="ee"/>
    <w:family w:val="roman"/>
    <w:pitch w:val="variable"/>
  </w:font>
  <w:font w:name="Bookman Old Style">
    <w:charset w:val="ee"/>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 w:name="&quot;Courier New&quot;">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right"/>
          <w:rPr/>
        </w:pPr>
        <w:r>
          <w:rPr/>
          <w:fldChar w:fldCharType="begin"/>
        </w:r>
        <w:r>
          <w:rPr/>
          <w:instrText xml:space="preserve"> PAGE </w:instrText>
        </w:r>
        <w:r>
          <w:rPr/>
          <w:fldChar w:fldCharType="separate"/>
        </w:r>
        <w:r>
          <w:rPr/>
          <w:t>77</w:t>
        </w:r>
        <w:r>
          <w:rPr/>
          <w:fldChar w:fldCharType="end"/>
        </w:r>
      </w:p>
    </w:sdtContent>
  </w:sdt>
  <w:p>
    <w:pPr>
      <w:pStyle w:val="Footer"/>
      <w:jc w:val="center"/>
      <w:rPr>
        <w:rStyle w:val="PageNumbe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right"/>
          <w:rPr/>
        </w:pPr>
        <w:r>
          <w:rPr/>
          <w:fldChar w:fldCharType="begin"/>
        </w:r>
        <w:r>
          <w:rPr/>
          <w:instrText xml:space="preserve"> PAGE </w:instrText>
        </w:r>
        <w:r>
          <w:rPr/>
          <w:fldChar w:fldCharType="separate"/>
        </w:r>
        <w:r>
          <w:rPr/>
          <w:t>77</w:t>
        </w:r>
        <w:r>
          <w:rPr/>
          <w:fldChar w:fldCharType="end"/>
        </w:r>
      </w:p>
    </w:sdtContent>
  </w:sdt>
  <w:p>
    <w:pPr>
      <w:pStyle w:val="Footer"/>
      <w:jc w:val="center"/>
      <w:rPr>
        <w:rStyle w:val="PageNumber"/>
        <w:sz w:val="16"/>
      </w:rPr>
    </w:pPr>
    <w:r>
      <w:rPr>
        <w:sz w:val="16"/>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right"/>
          <w:rPr/>
        </w:pPr>
        <w:r>
          <w:rPr/>
          <w:fldChar w:fldCharType="begin"/>
        </w:r>
        <w:r>
          <w:rPr/>
          <w:instrText xml:space="preserve"> PAGE </w:instrText>
        </w:r>
        <w:r>
          <w:rPr/>
          <w:fldChar w:fldCharType="separate"/>
        </w:r>
        <w:r>
          <w:rPr/>
          <w:t>79</w:t>
        </w:r>
        <w:r>
          <w:rPr/>
          <w:fldChar w:fldCharType="end"/>
        </w:r>
      </w:p>
    </w:sdtContent>
  </w:sdt>
  <w:p>
    <w:pPr>
      <w:pStyle w:val="Footer"/>
      <w:jc w:val="center"/>
      <w:rPr>
        <w:rStyle w:val="PageNumber"/>
        <w:sz w:val="16"/>
      </w:rPr>
    </w:pPr>
    <w:r>
      <w:rPr>
        <w:sz w:val="16"/>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18915667"/>
      <w:docPartObj>
        <w:docPartGallery w:val="Page Numbers (Bottom of Page)"/>
        <w:docPartUnique w:val="true"/>
      </w:docPartObj>
    </w:sdtPr>
    <w:sdtContent>
      <w:p>
        <w:pPr>
          <w:pStyle w:val="Footer"/>
          <w:jc w:val="right"/>
          <w:rPr/>
        </w:pPr>
        <w:r>
          <w:rPr/>
          <w:fldChar w:fldCharType="begin"/>
        </w:r>
        <w:r>
          <w:rPr/>
          <w:instrText xml:space="preserve"> PAGE </w:instrText>
        </w:r>
        <w:r>
          <w:rPr/>
          <w:fldChar w:fldCharType="separate"/>
        </w:r>
        <w:r>
          <w:rPr/>
          <w:t>79</w:t>
        </w:r>
        <w:r>
          <w:rPr/>
          <w:fldChar w:fldCharType="end"/>
        </w:r>
      </w:p>
    </w:sdtContent>
  </w:sdt>
  <w:p>
    <w:pPr>
      <w:pStyle w:val="Footer"/>
      <w:jc w:val="center"/>
      <w:rPr>
        <w:rStyle w:val="PageNumber"/>
        <w:sz w:val="16"/>
      </w:rPr>
    </w:pPr>
    <w:r>
      <w:rPr>
        <w:sz w:val="16"/>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Style w:val="PageNumber"/>
        <w:sz w:val="16"/>
      </w:rPr>
    </w:pPr>
    <w:r>
      <w:rPr>
        <w:sz w:val="16"/>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Style w:val="PageNumber"/>
        <w:sz w:val="16"/>
      </w:rPr>
    </w:pPr>
    <w:r>
      <w:rPr>
        <w:sz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Znakiprzypiswdolnych"/>
        </w:rPr>
        <w:footnoteRef/>
      </w:r>
      <w:r>
        <w:rPr>
          <w:color w:val="EE0000"/>
        </w:rPr>
        <w:t xml:space="preserve"> </w:t>
      </w:r>
      <w:r>
        <w:rPr>
          <w:color w:val="EE0000"/>
        </w:rPr>
        <w:t>Do usunięcia, jeśli nie dotyczy.</w:t>
      </w:r>
    </w:p>
  </w:footnote>
  <w:footnote w:id="3">
    <w:p>
      <w:pPr>
        <w:pStyle w:val="FootnoteText"/>
        <w:rPr/>
      </w:pPr>
      <w:r>
        <w:rPr>
          <w:rStyle w:val="Znakiprzypiswdolnych"/>
        </w:rPr>
        <w:footnoteRef/>
      </w:r>
      <w:r>
        <w:rPr>
          <w:color w:val="EE0000"/>
        </w:rPr>
        <w:t xml:space="preserve"> </w:t>
      </w:r>
      <w:r>
        <w:rPr>
          <w:color w:val="EE0000"/>
        </w:rPr>
        <w:t>Jeśli dotyczy.</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984875" cy="658495"/>
          <wp:effectExtent l="0" t="0" r="0" b="0"/>
          <wp:docPr id="1"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kopia 1 kopia 1"/>
                  <pic:cNvPicPr>
                    <a:picLocks noChangeAspect="1" noChangeArrowheads="1"/>
                  </pic:cNvPicPr>
                </pic:nvPicPr>
                <pic:blipFill>
                  <a:blip r:embed="rId1"/>
                  <a:srcRect l="-133" t="-1333" r="-133" b="-1333"/>
                  <a:stretch>
                    <a:fillRect/>
                  </a:stretch>
                </pic:blipFill>
                <pic:spPr bwMode="auto">
                  <a:xfrm>
                    <a:off x="0" y="0"/>
                    <a:ext cx="5984875" cy="65849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984875" cy="658495"/>
          <wp:effectExtent l="0" t="0" r="0" b="0"/>
          <wp:docPr id="2"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kopia 1 kopia 1"/>
                  <pic:cNvPicPr>
                    <a:picLocks noChangeAspect="1" noChangeArrowheads="1"/>
                  </pic:cNvPicPr>
                </pic:nvPicPr>
                <pic:blipFill>
                  <a:blip r:embed="rId1"/>
                  <a:srcRect l="-133" t="-1333" r="-133" b="-1333"/>
                  <a:stretch>
                    <a:fillRect/>
                  </a:stretch>
                </pic:blipFill>
                <pic:spPr bwMode="auto">
                  <a:xfrm>
                    <a:off x="0" y="0"/>
                    <a:ext cx="5984875" cy="658495"/>
                  </a:xfrm>
                  <a:prstGeom prst="rect">
                    <a:avLst/>
                  </a:prstGeom>
                  <a:noFill/>
                </pic:spPr>
              </pic:pic>
            </a:graphicData>
          </a:graphic>
        </wp:inline>
      </w:drawing>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drawing>
        <wp:inline distT="0" distB="0" distL="0" distR="0">
          <wp:extent cx="8798560" cy="658495"/>
          <wp:effectExtent l="0" t="0" r="0" b="0"/>
          <wp:docPr id="3" name="Obraz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1 kopia 1 kopia 1 kopia 1"/>
                  <pic:cNvPicPr>
                    <a:picLocks noChangeAspect="1" noChangeArrowheads="1"/>
                  </pic:cNvPicPr>
                </pic:nvPicPr>
                <pic:blipFill>
                  <a:blip r:embed="rId1"/>
                  <a:srcRect l="-133" t="-1333" r="-133" b="-1333"/>
                  <a:stretch>
                    <a:fillRect/>
                  </a:stretch>
                </pic:blipFill>
                <pic:spPr bwMode="auto">
                  <a:xfrm>
                    <a:off x="0" y="0"/>
                    <a:ext cx="8798560" cy="658495"/>
                  </a:xfrm>
                  <a:prstGeom prst="rect">
                    <a:avLst/>
                  </a:prstGeom>
                  <a:noFill/>
                </pic:spPr>
              </pic:pic>
            </a:graphicData>
          </a:graphic>
        </wp:inline>
      </w:drawing>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200"/>
      <w:jc w:val="left"/>
      <w:rPr/>
    </w:pPr>
    <w:r>
      <w:rPr/>
      <w:drawing>
        <wp:inline distT="0" distB="0" distL="0" distR="0">
          <wp:extent cx="8798560" cy="658495"/>
          <wp:effectExtent l="0" t="0" r="0" b="0"/>
          <wp:docPr id="4" name="Obraz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1 kopia 1 kopia 1 kopia 1"/>
                  <pic:cNvPicPr>
                    <a:picLocks noChangeAspect="1" noChangeArrowheads="1"/>
                  </pic:cNvPicPr>
                </pic:nvPicPr>
                <pic:blipFill>
                  <a:blip r:embed="rId1"/>
                  <a:srcRect l="-133" t="-1333" r="-133" b="-1333"/>
                  <a:stretch>
                    <a:fillRect/>
                  </a:stretch>
                </pic:blipFill>
                <pic:spPr bwMode="auto">
                  <a:xfrm>
                    <a:off x="0" y="0"/>
                    <a:ext cx="8798560" cy="658495"/>
                  </a:xfrm>
                  <a:prstGeom prst="rect">
                    <a:avLst/>
                  </a:prstGeom>
                  <a:noFill/>
                </pic:spPr>
              </pic:pic>
            </a:graphicData>
          </a:graphic>
        </wp:inline>
      </w:drawing>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57545" cy="658495"/>
          <wp:effectExtent l="0" t="0" r="0" b="0"/>
          <wp:docPr id="5" name="Obraz1 kopia 1 kopia 1 k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1 kopia 1 kopia 1 kopia 2"/>
                  <pic:cNvPicPr>
                    <a:picLocks noChangeAspect="1" noChangeArrowheads="1"/>
                  </pic:cNvPicPr>
                </pic:nvPicPr>
                <pic:blipFill>
                  <a:blip r:embed="rId1"/>
                  <a:srcRect l="-133" t="-1333" r="-133" b="-1333"/>
                  <a:stretch>
                    <a:fillRect/>
                  </a:stretch>
                </pic:blipFill>
                <pic:spPr bwMode="auto">
                  <a:xfrm>
                    <a:off x="0" y="0"/>
                    <a:ext cx="5757545" cy="658495"/>
                  </a:xfrm>
                  <a:prstGeom prst="rect">
                    <a:avLst/>
                  </a:prstGeom>
                  <a:noFill/>
                </pic:spPr>
              </pic:pic>
            </a:graphicData>
          </a:graphic>
        </wp:inline>
      </w:drawing>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57545" cy="658495"/>
          <wp:effectExtent l="0" t="0" r="0" b="0"/>
          <wp:docPr id="6" name="Obraz1 kopia 1 kopia 1 k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1 kopia 1 kopia 1 kopia 2"/>
                  <pic:cNvPicPr>
                    <a:picLocks noChangeAspect="1" noChangeArrowheads="1"/>
                  </pic:cNvPicPr>
                </pic:nvPicPr>
                <pic:blipFill>
                  <a:blip r:embed="rId1"/>
                  <a:srcRect l="-133" t="-1333" r="-133" b="-1333"/>
                  <a:stretch>
                    <a:fillRect/>
                  </a:stretch>
                </pic:blipFill>
                <pic:spPr bwMode="auto">
                  <a:xfrm>
                    <a:off x="0" y="0"/>
                    <a:ext cx="5757545" cy="6584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361" w:hanging="360"/>
      </w:pPr>
      <w:rPr>
        <w:b w:val="false"/>
        <w:bCs w:val="false"/>
      </w:rPr>
    </w:lvl>
    <w:lvl w:ilvl="1">
      <w:start w:val="1"/>
      <w:numFmt w:val="lowerLetter"/>
      <w:lvlText w:val="%2."/>
      <w:lvlJc w:val="left"/>
      <w:pPr>
        <w:tabs>
          <w:tab w:val="num" w:pos="0"/>
        </w:tabs>
        <w:ind w:left="1023" w:hanging="360"/>
      </w:pPr>
      <w:rPr/>
    </w:lvl>
    <w:lvl w:ilvl="2">
      <w:start w:val="1"/>
      <w:numFmt w:val="lowerRoman"/>
      <w:lvlText w:val="%3."/>
      <w:lvlJc w:val="right"/>
      <w:pPr>
        <w:tabs>
          <w:tab w:val="num" w:pos="0"/>
        </w:tabs>
        <w:ind w:left="1743" w:hanging="180"/>
      </w:pPr>
      <w:rPr/>
    </w:lvl>
    <w:lvl w:ilvl="3">
      <w:start w:val="1"/>
      <w:numFmt w:val="decimal"/>
      <w:lvlText w:val="%4."/>
      <w:lvlJc w:val="left"/>
      <w:pPr>
        <w:tabs>
          <w:tab w:val="num" w:pos="0"/>
        </w:tabs>
        <w:ind w:left="2463" w:hanging="360"/>
      </w:pPr>
      <w:rPr/>
    </w:lvl>
    <w:lvl w:ilvl="4">
      <w:start w:val="1"/>
      <w:numFmt w:val="lowerLetter"/>
      <w:lvlText w:val="%5."/>
      <w:lvlJc w:val="left"/>
      <w:pPr>
        <w:tabs>
          <w:tab w:val="num" w:pos="0"/>
        </w:tabs>
        <w:ind w:left="3183" w:hanging="360"/>
      </w:pPr>
      <w:rPr/>
    </w:lvl>
    <w:lvl w:ilvl="5">
      <w:start w:val="1"/>
      <w:numFmt w:val="lowerRoman"/>
      <w:lvlText w:val="%6."/>
      <w:lvlJc w:val="right"/>
      <w:pPr>
        <w:tabs>
          <w:tab w:val="num" w:pos="0"/>
        </w:tabs>
        <w:ind w:left="3903" w:hanging="180"/>
      </w:pPr>
      <w:rPr/>
    </w:lvl>
    <w:lvl w:ilvl="6">
      <w:start w:val="1"/>
      <w:numFmt w:val="decimal"/>
      <w:lvlText w:val="%7."/>
      <w:lvlJc w:val="left"/>
      <w:pPr>
        <w:tabs>
          <w:tab w:val="num" w:pos="0"/>
        </w:tabs>
        <w:ind w:left="4623" w:hanging="360"/>
      </w:pPr>
      <w:rPr/>
    </w:lvl>
    <w:lvl w:ilvl="7">
      <w:start w:val="1"/>
      <w:numFmt w:val="lowerLetter"/>
      <w:lvlText w:val="%8."/>
      <w:lvlJc w:val="left"/>
      <w:pPr>
        <w:tabs>
          <w:tab w:val="num" w:pos="0"/>
        </w:tabs>
        <w:ind w:left="5343" w:hanging="360"/>
      </w:pPr>
      <w:rPr/>
    </w:lvl>
    <w:lvl w:ilvl="8">
      <w:start w:val="1"/>
      <w:numFmt w:val="lowerRoman"/>
      <w:lvlText w:val="%9."/>
      <w:lvlJc w:val="right"/>
      <w:pPr>
        <w:tabs>
          <w:tab w:val="num" w:pos="0"/>
        </w:tabs>
        <w:ind w:left="6063" w:hanging="180"/>
      </w:pPr>
      <w:rPr/>
    </w:lvl>
  </w:abstractNum>
  <w:abstractNum w:abstractNumId="5">
    <w:lvl w:ilvl="0">
      <w:start w:val="1"/>
      <w:numFmt w:val="decimal"/>
      <w:lvlText w:val="%1."/>
      <w:lvlJc w:val="left"/>
      <w:pPr>
        <w:tabs>
          <w:tab w:val="num" w:pos="0"/>
        </w:tabs>
        <w:ind w:left="778"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b w:val="false"/>
        <w:bCs/>
        <w:sz w:val="22"/>
        <w:szCs w:val="22"/>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decimal"/>
      <w:lvlText w:val="%1."/>
      <w:lvlJc w:val="left"/>
      <w:pPr>
        <w:tabs>
          <w:tab w:val="num" w:pos="0"/>
        </w:tabs>
        <w:ind w:left="720" w:hanging="360"/>
      </w:pPr>
      <w:rPr>
        <w:b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2"/>
      <w:numFmt w:val="decimal"/>
      <w:lvlText w:val="%1."/>
      <w:lvlJc w:val="left"/>
      <w:pPr>
        <w:tabs>
          <w:tab w:val="num" w:pos="0"/>
        </w:tabs>
        <w:ind w:left="360" w:hanging="360"/>
      </w:pPr>
      <w:rPr>
        <w:b w:val="false"/>
        <w:bCs w:val="false"/>
      </w:rPr>
    </w:lvl>
    <w:lvl w:ilvl="1">
      <w:start w:val="1"/>
      <w:numFmt w:val="lowerLetter"/>
      <w:lvlText w:val="%2."/>
      <w:lvlJc w:val="left"/>
      <w:pPr>
        <w:tabs>
          <w:tab w:val="num" w:pos="0"/>
        </w:tabs>
        <w:ind w:left="1022" w:hanging="360"/>
      </w:pPr>
      <w:rPr/>
    </w:lvl>
    <w:lvl w:ilvl="2">
      <w:start w:val="1"/>
      <w:numFmt w:val="lowerRoman"/>
      <w:lvlText w:val="%3."/>
      <w:lvlJc w:val="right"/>
      <w:pPr>
        <w:tabs>
          <w:tab w:val="num" w:pos="0"/>
        </w:tabs>
        <w:ind w:left="1742" w:hanging="180"/>
      </w:pPr>
      <w:rPr/>
    </w:lvl>
    <w:lvl w:ilvl="3">
      <w:start w:val="1"/>
      <w:numFmt w:val="decimal"/>
      <w:lvlText w:val="%4."/>
      <w:lvlJc w:val="left"/>
      <w:pPr>
        <w:tabs>
          <w:tab w:val="num" w:pos="0"/>
        </w:tabs>
        <w:ind w:left="2462" w:hanging="360"/>
      </w:pPr>
      <w:rPr/>
    </w:lvl>
    <w:lvl w:ilvl="4">
      <w:start w:val="1"/>
      <w:numFmt w:val="lowerLetter"/>
      <w:lvlText w:val="%5."/>
      <w:lvlJc w:val="left"/>
      <w:pPr>
        <w:tabs>
          <w:tab w:val="num" w:pos="0"/>
        </w:tabs>
        <w:ind w:left="3182" w:hanging="360"/>
      </w:pPr>
      <w:rPr/>
    </w:lvl>
    <w:lvl w:ilvl="5">
      <w:start w:val="1"/>
      <w:numFmt w:val="lowerRoman"/>
      <w:lvlText w:val="%6."/>
      <w:lvlJc w:val="right"/>
      <w:pPr>
        <w:tabs>
          <w:tab w:val="num" w:pos="0"/>
        </w:tabs>
        <w:ind w:left="3902" w:hanging="180"/>
      </w:pPr>
      <w:rPr/>
    </w:lvl>
    <w:lvl w:ilvl="6">
      <w:start w:val="1"/>
      <w:numFmt w:val="decimal"/>
      <w:lvlText w:val="%7."/>
      <w:lvlJc w:val="left"/>
      <w:pPr>
        <w:tabs>
          <w:tab w:val="num" w:pos="0"/>
        </w:tabs>
        <w:ind w:left="4622" w:hanging="360"/>
      </w:pPr>
      <w:rPr/>
    </w:lvl>
    <w:lvl w:ilvl="7">
      <w:start w:val="1"/>
      <w:numFmt w:val="lowerLetter"/>
      <w:lvlText w:val="%8."/>
      <w:lvlJc w:val="left"/>
      <w:pPr>
        <w:tabs>
          <w:tab w:val="num" w:pos="0"/>
        </w:tabs>
        <w:ind w:left="5342" w:hanging="360"/>
      </w:pPr>
      <w:rPr/>
    </w:lvl>
    <w:lvl w:ilvl="8">
      <w:start w:val="1"/>
      <w:numFmt w:val="lowerRoman"/>
      <w:lvlText w:val="%9."/>
      <w:lvlJc w:val="right"/>
      <w:pPr>
        <w:tabs>
          <w:tab w:val="num" w:pos="0"/>
        </w:tabs>
        <w:ind w:left="6062" w:hanging="180"/>
      </w:pPr>
      <w:rPr/>
    </w:lvl>
  </w:abstractNum>
  <w:abstractNum w:abstractNumId="9">
    <w:lvl w:ilvl="0">
      <w:start w:val="1"/>
      <w:numFmt w:val="decimal"/>
      <w:lvlText w:val="%1)"/>
      <w:lvlJc w:val="left"/>
      <w:pPr>
        <w:tabs>
          <w:tab w:val="num" w:pos="0"/>
        </w:tabs>
        <w:ind w:left="720" w:hanging="360"/>
      </w:pPr>
      <w:rPr>
        <w:b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360" w:hanging="360"/>
      </w:pPr>
      <w:rPr>
        <w:rFonts w:ascii="Arial" w:hAnsi="Arial" w:cs="Arial"/>
        <w:b w:val="false"/>
        <w:bCs/>
        <w:sz w:val="20"/>
        <w:szCs w:val="18"/>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1">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080" w:hanging="360"/>
      </w:pPr>
      <w:rPr/>
    </w:lvl>
    <w:lvl w:ilvl="2">
      <w:start w:val="1"/>
      <w:numFmt w:val="lowerLetter"/>
      <w:lvlText w:val="%3)"/>
      <w:lvlJc w:val="left"/>
      <w:pPr>
        <w:tabs>
          <w:tab w:val="num" w:pos="0"/>
        </w:tabs>
        <w:ind w:left="1980" w:hanging="36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2">
    <w:lvl w:ilvl="0">
      <w:start w:val="1"/>
      <w:numFmt w:val="decimal"/>
      <w:lvlText w:val="%1."/>
      <w:lvlJc w:val="left"/>
      <w:pPr>
        <w:tabs>
          <w:tab w:val="num" w:pos="0"/>
        </w:tabs>
        <w:ind w:left="36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361" w:hanging="360"/>
      </w:pPr>
      <w:rPr>
        <w:b w:val="false"/>
        <w:bCs w:val="false"/>
      </w:rPr>
    </w:lvl>
    <w:lvl w:ilvl="1">
      <w:start w:val="1"/>
      <w:numFmt w:val="lowerLetter"/>
      <w:lvlText w:val="%2."/>
      <w:lvlJc w:val="left"/>
      <w:pPr>
        <w:tabs>
          <w:tab w:val="num" w:pos="0"/>
        </w:tabs>
        <w:ind w:left="1023" w:hanging="360"/>
      </w:pPr>
      <w:rPr/>
    </w:lvl>
    <w:lvl w:ilvl="2">
      <w:start w:val="1"/>
      <w:numFmt w:val="lowerRoman"/>
      <w:lvlText w:val="%3."/>
      <w:lvlJc w:val="right"/>
      <w:pPr>
        <w:tabs>
          <w:tab w:val="num" w:pos="0"/>
        </w:tabs>
        <w:ind w:left="1743" w:hanging="180"/>
      </w:pPr>
      <w:rPr/>
    </w:lvl>
    <w:lvl w:ilvl="3">
      <w:start w:val="1"/>
      <w:numFmt w:val="decimal"/>
      <w:lvlText w:val="%4."/>
      <w:lvlJc w:val="left"/>
      <w:pPr>
        <w:tabs>
          <w:tab w:val="num" w:pos="0"/>
        </w:tabs>
        <w:ind w:left="2463" w:hanging="360"/>
      </w:pPr>
      <w:rPr/>
    </w:lvl>
    <w:lvl w:ilvl="4">
      <w:start w:val="1"/>
      <w:numFmt w:val="lowerLetter"/>
      <w:lvlText w:val="%5."/>
      <w:lvlJc w:val="left"/>
      <w:pPr>
        <w:tabs>
          <w:tab w:val="num" w:pos="0"/>
        </w:tabs>
        <w:ind w:left="3183" w:hanging="360"/>
      </w:pPr>
      <w:rPr/>
    </w:lvl>
    <w:lvl w:ilvl="5">
      <w:start w:val="1"/>
      <w:numFmt w:val="lowerRoman"/>
      <w:lvlText w:val="%6."/>
      <w:lvlJc w:val="right"/>
      <w:pPr>
        <w:tabs>
          <w:tab w:val="num" w:pos="0"/>
        </w:tabs>
        <w:ind w:left="3903" w:hanging="180"/>
      </w:pPr>
      <w:rPr/>
    </w:lvl>
    <w:lvl w:ilvl="6">
      <w:start w:val="1"/>
      <w:numFmt w:val="decimal"/>
      <w:lvlText w:val="%7."/>
      <w:lvlJc w:val="left"/>
      <w:pPr>
        <w:tabs>
          <w:tab w:val="num" w:pos="0"/>
        </w:tabs>
        <w:ind w:left="4623" w:hanging="360"/>
      </w:pPr>
      <w:rPr/>
    </w:lvl>
    <w:lvl w:ilvl="7">
      <w:start w:val="1"/>
      <w:numFmt w:val="lowerLetter"/>
      <w:lvlText w:val="%8."/>
      <w:lvlJc w:val="left"/>
      <w:pPr>
        <w:tabs>
          <w:tab w:val="num" w:pos="0"/>
        </w:tabs>
        <w:ind w:left="5343" w:hanging="360"/>
      </w:pPr>
      <w:rPr/>
    </w:lvl>
    <w:lvl w:ilvl="8">
      <w:start w:val="1"/>
      <w:numFmt w:val="lowerRoman"/>
      <w:lvlText w:val="%9."/>
      <w:lvlJc w:val="right"/>
      <w:pPr>
        <w:tabs>
          <w:tab w:val="num" w:pos="0"/>
        </w:tabs>
        <w:ind w:left="6063" w:hanging="180"/>
      </w:pPr>
      <w:rPr/>
    </w:lvl>
  </w:abstractNum>
  <w:abstractNum w:abstractNumId="1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72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6"/>
      <w:numFmt w:val="decimal"/>
      <w:lvlText w:val="%1)"/>
      <w:lvlJc w:val="left"/>
      <w:pPr>
        <w:tabs>
          <w:tab w:val="num" w:pos="0"/>
        </w:tabs>
        <w:ind w:left="77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b w:val="false"/>
        <w:bCs w:val="false"/>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786" w:hanging="360"/>
      </w:pPr>
      <w:rPr>
        <w:b w:val="false"/>
        <w:bCs/>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1">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2">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20" w:hanging="360"/>
      </w:pPr>
      <w:rPr>
        <w:b w:val="false"/>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26">
    <w:lvl w:ilvl="0">
      <w:start w:val="1"/>
      <w:numFmt w:val="decimal"/>
      <w:lvlText w:val="%1."/>
      <w:lvlJc w:val="left"/>
      <w:pPr>
        <w:tabs>
          <w:tab w:val="num" w:pos="360"/>
        </w:tabs>
        <w:ind w:left="360" w:hanging="360"/>
      </w:pPr>
      <w:rPr/>
    </w:lvl>
    <w:lvl w:ilvl="1">
      <w:start w:val="1"/>
      <w:numFmt w:val="lowerLetter"/>
      <w:lvlText w:val="%2."/>
      <w:lvlJc w:val="left"/>
      <w:pPr>
        <w:tabs>
          <w:tab w:val="num" w:pos="720"/>
        </w:tabs>
        <w:ind w:left="720" w:hanging="360"/>
      </w:pPr>
      <w:rPr/>
    </w:lvl>
    <w:lvl w:ilvl="2">
      <w:start w:val="1"/>
      <w:numFmt w:val="lowerRoman"/>
      <w:lvlText w:val="%3."/>
      <w:lvlJc w:val="left"/>
      <w:pPr>
        <w:tabs>
          <w:tab w:val="num" w:pos="1080"/>
        </w:tabs>
        <w:ind w:left="1080" w:hanging="360"/>
      </w:pPr>
      <w:rPr/>
    </w:lvl>
    <w:lvl w:ilvl="3">
      <w:start w:val="1"/>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16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3240"/>
        </w:tabs>
        <w:ind w:left="3240" w:hanging="360"/>
      </w:pPr>
      <w:rPr/>
    </w:lvl>
  </w:abstractNum>
  <w:abstractNum w:abstractNumId="27">
    <w:lvl w:ilvl="0">
      <w:start w:val="1"/>
      <w:numFmt w:val="decimal"/>
      <w:lvlText w:val="%1)"/>
      <w:lvlJc w:val="left"/>
      <w:pPr>
        <w:tabs>
          <w:tab w:val="num" w:pos="360"/>
        </w:tabs>
        <w:ind w:left="360" w:hanging="360"/>
      </w:pPr>
      <w:rPr/>
    </w:lvl>
    <w:lvl w:ilvl="1">
      <w:start w:val="1"/>
      <w:numFmt w:val="lowerLetter"/>
      <w:lvlText w:val="%2)"/>
      <w:lvlJc w:val="left"/>
      <w:pPr>
        <w:tabs>
          <w:tab w:val="num" w:pos="720"/>
        </w:tabs>
        <w:ind w:left="720" w:hanging="360"/>
      </w:pPr>
      <w:rPr/>
    </w:lvl>
    <w:lvl w:ilvl="2">
      <w:start w:val="1"/>
      <w:numFmt w:val="lowerRoman"/>
      <w:lvlText w:val="%3)"/>
      <w:lvlJc w:val="left"/>
      <w:pPr>
        <w:tabs>
          <w:tab w:val="num" w:pos="1080"/>
        </w:tabs>
        <w:ind w:left="1080" w:hanging="360"/>
      </w:pPr>
      <w:rPr/>
    </w:lvl>
    <w:lvl w:ilvl="3">
      <w:start w:val="1"/>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16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8">
    <w:lvl w:ilvl="0">
      <w:start w:val="1"/>
      <w:numFmt w:val="decimal"/>
      <w:lvlText w:val="%1."/>
      <w:lvlJc w:val="left"/>
      <w:pPr>
        <w:tabs>
          <w:tab w:val="num" w:pos="0"/>
        </w:tabs>
        <w:ind w:left="341" w:hanging="341"/>
      </w:pPr>
      <w:rPr>
        <w:rFonts w:ascii="Arial" w:hAnsi="Arial"/>
        <w:b w:val="false"/>
        <w:i w:val="false"/>
        <w:sz w:val="20"/>
      </w:rPr>
    </w:lvl>
    <w:lvl w:ilvl="1">
      <w:start w:val="1"/>
      <w:numFmt w:val="decimal"/>
      <w:lvlText w:val="%2)"/>
      <w:lvlJc w:val="left"/>
      <w:pPr>
        <w:tabs>
          <w:tab w:val="num" w:pos="0"/>
        </w:tabs>
        <w:ind w:left="567" w:hanging="397"/>
      </w:pPr>
      <w:rPr/>
    </w:lvl>
    <w:lvl w:ilvl="2">
      <w:start w:val="1"/>
      <w:numFmt w:val="decimal"/>
      <w:lvlText w:val="%3)"/>
      <w:lvlJc w:val="left"/>
      <w:pPr>
        <w:tabs>
          <w:tab w:val="num" w:pos="0"/>
        </w:tabs>
        <w:ind w:left="1041" w:hanging="360"/>
      </w:pPr>
      <w:rPr/>
    </w:lvl>
    <w:lvl w:ilvl="3">
      <w:start w:val="1"/>
      <w:numFmt w:val="none"/>
      <w:suff w:val="nothing"/>
      <w:lvlText w:val="-"/>
      <w:lvlJc w:val="left"/>
      <w:pPr>
        <w:tabs>
          <w:tab w:val="num" w:pos="0"/>
        </w:tabs>
        <w:ind w:left="681" w:hanging="171"/>
      </w:pPr>
      <w:rPr/>
    </w:lvl>
    <w:lvl w:ilvl="4">
      <w:start w:val="1"/>
      <w:numFmt w:val="lowerLetter"/>
      <w:lvlText w:val="%5."/>
      <w:lvlJc w:val="left"/>
      <w:pPr>
        <w:tabs>
          <w:tab w:val="num" w:pos="0"/>
        </w:tabs>
        <w:ind w:left="851" w:hanging="171"/>
      </w:pPr>
      <w:rPr/>
    </w:lvl>
    <w:lvl w:ilvl="5">
      <w:start w:val="1"/>
      <w:numFmt w:val="lowerRoman"/>
      <w:lvlText w:val="%6."/>
      <w:lvlJc w:val="right"/>
      <w:pPr>
        <w:tabs>
          <w:tab w:val="num" w:pos="0"/>
        </w:tabs>
        <w:ind w:left="1021" w:hanging="171"/>
      </w:pPr>
      <w:rPr/>
    </w:lvl>
    <w:lvl w:ilvl="6">
      <w:start w:val="1"/>
      <w:numFmt w:val="decimal"/>
      <w:lvlText w:val="%7."/>
      <w:lvlJc w:val="left"/>
      <w:pPr>
        <w:tabs>
          <w:tab w:val="num" w:pos="0"/>
        </w:tabs>
        <w:ind w:left="1191" w:hanging="171"/>
      </w:pPr>
      <w:rPr/>
    </w:lvl>
    <w:lvl w:ilvl="7">
      <w:start w:val="1"/>
      <w:numFmt w:val="lowerLetter"/>
      <w:lvlText w:val="%8."/>
      <w:lvlJc w:val="left"/>
      <w:pPr>
        <w:tabs>
          <w:tab w:val="num" w:pos="0"/>
        </w:tabs>
        <w:ind w:left="1361" w:hanging="171"/>
      </w:pPr>
      <w:rPr/>
    </w:lvl>
    <w:lvl w:ilvl="8">
      <w:start w:val="1"/>
      <w:numFmt w:val="lowerRoman"/>
      <w:lvlText w:val="%9."/>
      <w:lvlJc w:val="right"/>
      <w:pPr>
        <w:tabs>
          <w:tab w:val="num" w:pos="0"/>
        </w:tabs>
        <w:ind w:left="1531" w:hanging="171"/>
      </w:pPr>
      <w:rPr/>
    </w:lvl>
  </w:abstractNum>
  <w:abstractNum w:abstractNumId="29">
    <w:lvl w:ilvl="0">
      <w:start w:val="1"/>
      <w:numFmt w:val="upperRoman"/>
      <w:lvlText w:val="%1."/>
      <w:lvlJc w:val="right"/>
      <w:pPr>
        <w:tabs>
          <w:tab w:val="num" w:pos="0"/>
        </w:tabs>
        <w:ind w:left="454" w:hanging="341"/>
      </w:pPr>
      <w:rPr>
        <w:b w:val="false"/>
        <w:i w:val="false"/>
        <w:sz w:val="20"/>
      </w:rPr>
    </w:lvl>
    <w:lvl w:ilvl="1">
      <w:start w:val="1"/>
      <w:numFmt w:val="decimal"/>
      <w:lvlText w:val="%2."/>
      <w:lvlJc w:val="left"/>
      <w:pPr>
        <w:tabs>
          <w:tab w:val="num" w:pos="0"/>
        </w:tabs>
        <w:ind w:left="680" w:hanging="397"/>
      </w:pPr>
      <w:rPr>
        <w:rFonts w:ascii="Calibri" w:hAnsi="Calibri" w:eastAsia="Calibri" w:cs="Calibri" w:asciiTheme="minorHAnsi" w:cstheme="minorHAnsi" w:hAnsiTheme="minorHAnsi"/>
      </w:rPr>
    </w:lvl>
    <w:lvl w:ilvl="2">
      <w:start w:val="1"/>
      <w:numFmt w:val="lowerLetter"/>
      <w:lvlText w:val="%3."/>
      <w:lvlJc w:val="right"/>
      <w:pPr>
        <w:tabs>
          <w:tab w:val="num" w:pos="0"/>
        </w:tabs>
        <w:ind w:left="851" w:hanging="57"/>
      </w:pPr>
      <w:rPr>
        <w:rFonts w:ascii="Arial" w:hAnsi="Arial" w:eastAsia="Calibri" w:cs="Arial"/>
      </w:rPr>
    </w:lvl>
    <w:lvl w:ilvl="3">
      <w:start w:val="1"/>
      <w:numFmt w:val="none"/>
      <w:suff w:val="nothing"/>
      <w:lvlText w:val="-"/>
      <w:lvlJc w:val="left"/>
      <w:pPr>
        <w:tabs>
          <w:tab w:val="num" w:pos="0"/>
        </w:tabs>
        <w:ind w:left="794" w:hanging="171"/>
      </w:pPr>
      <w:rPr/>
    </w:lvl>
    <w:lvl w:ilvl="4">
      <w:start w:val="1"/>
      <w:numFmt w:val="lowerLetter"/>
      <w:lvlText w:val="%5."/>
      <w:lvlJc w:val="left"/>
      <w:pPr>
        <w:tabs>
          <w:tab w:val="num" w:pos="0"/>
        </w:tabs>
        <w:ind w:left="964" w:hanging="171"/>
      </w:pPr>
      <w:rPr/>
    </w:lvl>
    <w:lvl w:ilvl="5">
      <w:start w:val="1"/>
      <w:numFmt w:val="lowerRoman"/>
      <w:lvlText w:val="%6."/>
      <w:lvlJc w:val="right"/>
      <w:pPr>
        <w:tabs>
          <w:tab w:val="num" w:pos="0"/>
        </w:tabs>
        <w:ind w:left="1134" w:hanging="171"/>
      </w:pPr>
      <w:rPr/>
    </w:lvl>
    <w:lvl w:ilvl="6">
      <w:start w:val="1"/>
      <w:numFmt w:val="decimal"/>
      <w:lvlText w:val="%7."/>
      <w:lvlJc w:val="left"/>
      <w:pPr>
        <w:tabs>
          <w:tab w:val="num" w:pos="0"/>
        </w:tabs>
        <w:ind w:left="1304" w:hanging="171"/>
      </w:pPr>
      <w:rPr/>
    </w:lvl>
    <w:lvl w:ilvl="7">
      <w:start w:val="1"/>
      <w:numFmt w:val="lowerLetter"/>
      <w:lvlText w:val="%8."/>
      <w:lvlJc w:val="left"/>
      <w:pPr>
        <w:tabs>
          <w:tab w:val="num" w:pos="0"/>
        </w:tabs>
        <w:ind w:left="1474" w:hanging="171"/>
      </w:pPr>
      <w:rPr/>
    </w:lvl>
    <w:lvl w:ilvl="8">
      <w:start w:val="1"/>
      <w:numFmt w:val="lowerRoman"/>
      <w:lvlText w:val="%9."/>
      <w:lvlJc w:val="right"/>
      <w:pPr>
        <w:tabs>
          <w:tab w:val="num" w:pos="0"/>
        </w:tabs>
        <w:ind w:left="1644" w:hanging="171"/>
      </w:pPr>
      <w:rPr/>
    </w:lvl>
  </w:abstractNum>
  <w:abstractNum w:abstractNumId="30">
    <w:lvl w:ilvl="0">
      <w:start w:val="1"/>
      <w:numFmt w:val="upperRoman"/>
      <w:lvlText w:val="%1."/>
      <w:lvlJc w:val="righ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360"/>
        </w:tabs>
        <w:ind w:left="36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2">
    <w:lvl w:ilvl="0">
      <w:start w:val="1"/>
      <w:numFmt w:val="decimal"/>
      <w:lvlText w:val="%1."/>
      <w:lvlJc w:val="left"/>
      <w:pPr>
        <w:tabs>
          <w:tab w:val="num" w:pos="360"/>
        </w:tabs>
        <w:ind w:left="36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3">
    <w:lvl w:ilvl="0">
      <w:start w:val="1"/>
      <w:numFmt w:val="decimal"/>
      <w:lvlText w:val="%1."/>
      <w:lvlJc w:val="left"/>
      <w:pPr>
        <w:tabs>
          <w:tab w:val="num" w:pos="360"/>
        </w:tabs>
        <w:ind w:left="36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4">
    <w:lvl w:ilvl="0">
      <w:start w:val="1"/>
      <w:numFmt w:val="decimal"/>
      <w:lvlText w:val="§ %1."/>
      <w:lvlJc w:val="left"/>
      <w:pPr>
        <w:tabs>
          <w:tab w:val="num" w:pos="680"/>
        </w:tabs>
        <w:ind w:left="680" w:hanging="680"/>
      </w:pPr>
      <w:rPr>
        <w:rFonts w:ascii="Arial" w:hAnsi="Arial" w:cs="Arial"/>
        <w:b/>
        <w:i w:val="false"/>
        <w:sz w:val="20"/>
      </w:rPr>
    </w:lvl>
    <w:lvl w:ilvl="1">
      <w:start w:val="1"/>
      <w:numFmt w:val="decimal"/>
      <w:lvlText w:val="%1.%2."/>
      <w:lvlJc w:val="left"/>
      <w:pPr>
        <w:tabs>
          <w:tab w:val="num" w:pos="680"/>
        </w:tabs>
        <w:ind w:left="680" w:hanging="680"/>
      </w:pPr>
      <w:rPr>
        <w:rFonts w:ascii="Bookman Old Style" w:hAnsi="Bookman Old Style"/>
        <w:b w:val="false"/>
        <w:i w:val="false"/>
        <w:strike w:val="false"/>
        <w:dstrike w:val="false"/>
        <w:sz w:val="20"/>
        <w:szCs w:val="20"/>
      </w:rPr>
    </w:lvl>
    <w:lvl w:ilvl="2">
      <w:start w:val="1"/>
      <w:numFmt w:val="lowerLetter"/>
      <w:lvlText w:val="%3)"/>
      <w:lvlJc w:val="left"/>
      <w:pPr>
        <w:tabs>
          <w:tab w:val="num" w:pos="1361"/>
        </w:tabs>
        <w:ind w:left="1361" w:hanging="681"/>
      </w:pPr>
      <w:rPr>
        <w:rFonts w:ascii="Times New Roman" w:hAnsi="Times New Roman" w:eastAsia="Times New Roman" w:cs="Times New Roman"/>
        <w:b w:val="false"/>
        <w:i w:val="false"/>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5">
    <w:lvl w:ilvl="0">
      <w:start w:val="1"/>
      <w:numFmt w:val="bullet"/>
      <w:lvlText w:val=""/>
      <w:lvlJc w:val="left"/>
      <w:pPr>
        <w:tabs>
          <w:tab w:val="num" w:pos="0"/>
        </w:tabs>
        <w:ind w:left="935" w:hanging="360"/>
      </w:pPr>
      <w:rPr>
        <w:rFonts w:ascii="Symbol" w:hAnsi="Symbol" w:cs="Symbol" w:hint="default"/>
      </w:rPr>
    </w:lvl>
    <w:lvl w:ilvl="1">
      <w:start w:val="1"/>
      <w:numFmt w:val="bullet"/>
      <w:lvlText w:val="o"/>
      <w:lvlJc w:val="left"/>
      <w:pPr>
        <w:tabs>
          <w:tab w:val="num" w:pos="0"/>
        </w:tabs>
        <w:ind w:left="1655" w:hanging="360"/>
      </w:pPr>
      <w:rPr>
        <w:rFonts w:ascii="Courier New" w:hAnsi="Courier New" w:cs="Courier New" w:hint="default"/>
      </w:rPr>
    </w:lvl>
    <w:lvl w:ilvl="2">
      <w:start w:val="1"/>
      <w:numFmt w:val="bullet"/>
      <w:lvlText w:val=""/>
      <w:lvlJc w:val="left"/>
      <w:pPr>
        <w:tabs>
          <w:tab w:val="num" w:pos="0"/>
        </w:tabs>
        <w:ind w:left="2375" w:hanging="360"/>
      </w:pPr>
      <w:rPr>
        <w:rFonts w:ascii="Wingdings" w:hAnsi="Wingdings" w:cs="Wingdings" w:hint="default"/>
      </w:rPr>
    </w:lvl>
    <w:lvl w:ilvl="3">
      <w:start w:val="1"/>
      <w:numFmt w:val="bullet"/>
      <w:lvlText w:val=""/>
      <w:lvlJc w:val="left"/>
      <w:pPr>
        <w:tabs>
          <w:tab w:val="num" w:pos="0"/>
        </w:tabs>
        <w:ind w:left="3095" w:hanging="360"/>
      </w:pPr>
      <w:rPr>
        <w:rFonts w:ascii="Symbol" w:hAnsi="Symbol" w:cs="Symbol" w:hint="default"/>
      </w:rPr>
    </w:lvl>
    <w:lvl w:ilvl="4">
      <w:start w:val="1"/>
      <w:numFmt w:val="bullet"/>
      <w:lvlText w:val="o"/>
      <w:lvlJc w:val="left"/>
      <w:pPr>
        <w:tabs>
          <w:tab w:val="num" w:pos="0"/>
        </w:tabs>
        <w:ind w:left="3815" w:hanging="360"/>
      </w:pPr>
      <w:rPr>
        <w:rFonts w:ascii="Courier New" w:hAnsi="Courier New" w:cs="Courier New" w:hint="default"/>
      </w:rPr>
    </w:lvl>
    <w:lvl w:ilvl="5">
      <w:start w:val="1"/>
      <w:numFmt w:val="bullet"/>
      <w:lvlText w:val=""/>
      <w:lvlJc w:val="left"/>
      <w:pPr>
        <w:tabs>
          <w:tab w:val="num" w:pos="0"/>
        </w:tabs>
        <w:ind w:left="4535" w:hanging="360"/>
      </w:pPr>
      <w:rPr>
        <w:rFonts w:ascii="Wingdings" w:hAnsi="Wingdings" w:cs="Wingdings" w:hint="default"/>
      </w:rPr>
    </w:lvl>
    <w:lvl w:ilvl="6">
      <w:start w:val="1"/>
      <w:numFmt w:val="bullet"/>
      <w:lvlText w:val=""/>
      <w:lvlJc w:val="left"/>
      <w:pPr>
        <w:tabs>
          <w:tab w:val="num" w:pos="0"/>
        </w:tabs>
        <w:ind w:left="5255" w:hanging="360"/>
      </w:pPr>
      <w:rPr>
        <w:rFonts w:ascii="Symbol" w:hAnsi="Symbol" w:cs="Symbol" w:hint="default"/>
      </w:rPr>
    </w:lvl>
    <w:lvl w:ilvl="7">
      <w:start w:val="1"/>
      <w:numFmt w:val="bullet"/>
      <w:lvlText w:val="o"/>
      <w:lvlJc w:val="left"/>
      <w:pPr>
        <w:tabs>
          <w:tab w:val="num" w:pos="0"/>
        </w:tabs>
        <w:ind w:left="5975" w:hanging="360"/>
      </w:pPr>
      <w:rPr>
        <w:rFonts w:ascii="Courier New" w:hAnsi="Courier New" w:cs="Courier New" w:hint="default"/>
      </w:rPr>
    </w:lvl>
    <w:lvl w:ilvl="8">
      <w:start w:val="1"/>
      <w:numFmt w:val="bullet"/>
      <w:lvlText w:val=""/>
      <w:lvlJc w:val="left"/>
      <w:pPr>
        <w:tabs>
          <w:tab w:val="num" w:pos="0"/>
        </w:tabs>
        <w:ind w:left="6695" w:hanging="360"/>
      </w:pPr>
      <w:rPr>
        <w:rFonts w:ascii="Wingdings" w:hAnsi="Wingdings" w:cs="Wingdings" w:hint="default"/>
      </w:rPr>
    </w:lvl>
  </w:abstractNum>
  <w:abstractNum w:abstractNumId="3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2">
    <w:lvl w:ilvl="0">
      <w:start w:val="1"/>
      <w:numFmt w:val="decimal"/>
      <w:lvlText w:val="§ %1."/>
      <w:lvlJc w:val="left"/>
      <w:pPr>
        <w:tabs>
          <w:tab w:val="num" w:pos="851"/>
        </w:tabs>
        <w:ind w:left="0" w:hanging="0"/>
      </w:pPr>
      <w:rPr>
        <w:rFonts w:ascii="Calibri" w:hAnsi="Calibri" w:cs="Times New Roman"/>
        <w:b/>
        <w:i w:val="false"/>
        <w:sz w:val="22"/>
        <w:szCs w:val="20"/>
      </w:rPr>
    </w:lvl>
    <w:lvl w:ilvl="1">
      <w:start w:val="1"/>
      <w:numFmt w:val="decimal"/>
      <w:isLgl/>
      <w:lvlText w:val="%2."/>
      <w:lvlJc w:val="left"/>
      <w:pPr>
        <w:tabs>
          <w:tab w:val="num" w:pos="0"/>
        </w:tabs>
        <w:ind w:left="567" w:hanging="567"/>
      </w:pPr>
      <w:rPr/>
    </w:lvl>
    <w:lvl w:ilvl="2">
      <w:start w:val="1"/>
      <w:numFmt w:val="decimal"/>
      <w:isLgl/>
      <w:lvlText w:val="%2.%3"/>
      <w:lvlJc w:val="right"/>
      <w:pPr>
        <w:tabs>
          <w:tab w:val="num" w:pos="0"/>
        </w:tabs>
        <w:ind w:left="907" w:hanging="170"/>
      </w:pPr>
      <w:rPr/>
    </w:lvl>
    <w:lvl w:ilvl="3">
      <w:start w:val="1"/>
      <w:numFmt w:val="lowerLetter"/>
      <w:lvlText w:val="%4."/>
      <w:lvlJc w:val="left"/>
      <w:pPr>
        <w:tabs>
          <w:tab w:val="num" w:pos="0"/>
        </w:tabs>
        <w:ind w:left="907" w:hanging="283"/>
      </w:pPr>
      <w:rPr/>
    </w:lvl>
    <w:lvl w:ilvl="4">
      <w:start w:val="1"/>
      <w:numFmt w:val="lowerLetter"/>
      <w:lvlText w:val="%5."/>
      <w:lvlJc w:val="left"/>
      <w:pPr>
        <w:tabs>
          <w:tab w:val="num" w:pos="0"/>
        </w:tabs>
        <w:ind w:left="1247" w:hanging="283"/>
      </w:pPr>
      <w:rPr/>
    </w:lvl>
    <w:lvl w:ilvl="5">
      <w:start w:val="1"/>
      <w:numFmt w:val="lowerRoman"/>
      <w:lvlText w:val="%6."/>
      <w:lvlJc w:val="right"/>
      <w:pPr>
        <w:tabs>
          <w:tab w:val="num" w:pos="0"/>
        </w:tabs>
        <w:ind w:left="5341" w:hanging="180"/>
      </w:pPr>
      <w:rPr/>
    </w:lvl>
    <w:lvl w:ilvl="6">
      <w:start w:val="1"/>
      <w:numFmt w:val="decimal"/>
      <w:lvlText w:val="%7."/>
      <w:lvlJc w:val="left"/>
      <w:pPr>
        <w:tabs>
          <w:tab w:val="num" w:pos="0"/>
        </w:tabs>
        <w:ind w:left="6061" w:hanging="360"/>
      </w:pPr>
      <w:rPr/>
    </w:lvl>
    <w:lvl w:ilvl="7">
      <w:start w:val="1"/>
      <w:numFmt w:val="lowerLetter"/>
      <w:lvlText w:val="%8."/>
      <w:lvlJc w:val="left"/>
      <w:pPr>
        <w:tabs>
          <w:tab w:val="num" w:pos="0"/>
        </w:tabs>
        <w:ind w:left="6781" w:hanging="360"/>
      </w:pPr>
      <w:rPr/>
    </w:lvl>
    <w:lvl w:ilvl="8">
      <w:start w:val="1"/>
      <w:numFmt w:val="lowerRoman"/>
      <w:lvlText w:val="%9."/>
      <w:lvlJc w:val="right"/>
      <w:pPr>
        <w:tabs>
          <w:tab w:val="num" w:pos="0"/>
        </w:tabs>
        <w:ind w:left="7501" w:hanging="180"/>
      </w:pPr>
      <w:rPr/>
    </w:lvl>
  </w:abstractNum>
  <w:abstractNum w:abstractNumId="4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9">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50">
    <w:lvl w:ilvl="0">
      <w:start w:val="10"/>
      <w:numFmt w:val="decimal"/>
      <w:lvlText w:val="§ %1."/>
      <w:lvlJc w:val="left"/>
      <w:pPr>
        <w:tabs>
          <w:tab w:val="num" w:pos="680"/>
        </w:tabs>
        <w:ind w:left="680" w:hanging="680"/>
      </w:pPr>
      <w:rPr>
        <w:rFonts w:ascii="Bookman Old Style" w:hAnsi="Bookman Old Style" w:cs="Bookman Old Style"/>
        <w:b/>
        <w:bCs/>
        <w:i w:val="false"/>
        <w:iCs w:val="false"/>
        <w:sz w:val="20"/>
        <w:szCs w:val="20"/>
      </w:rPr>
    </w:lvl>
    <w:lvl w:ilvl="1">
      <w:start w:val="1"/>
      <w:numFmt w:val="decimal"/>
      <w:lvlText w:val="%2."/>
      <w:lvlJc w:val="left"/>
      <w:pPr>
        <w:tabs>
          <w:tab w:val="num" w:pos="0"/>
        </w:tabs>
        <w:ind w:left="360" w:hanging="360"/>
      </w:pPr>
      <w:rPr/>
    </w:lvl>
    <w:lvl w:ilvl="2">
      <w:start w:val="1"/>
      <w:numFmt w:val="lowerLetter"/>
      <w:lvlText w:val="%3)"/>
      <w:lvlJc w:val="left"/>
      <w:pPr>
        <w:tabs>
          <w:tab w:val="num" w:pos="1361"/>
        </w:tabs>
        <w:ind w:left="1361" w:hanging="681"/>
      </w:pPr>
      <w:rPr>
        <w:rFonts w:ascii="Tahoma" w:hAnsi="Tahoma" w:cs="Tahoma"/>
        <w:b w:val="false"/>
        <w:bCs w:val="false"/>
        <w:i w:val="false"/>
        <w:iCs w:val="false"/>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51">
    <w:lvl w:ilvl="0">
      <w:start w:val="15"/>
      <w:numFmt w:val="decimal"/>
      <w:lvlText w:val="%1."/>
      <w:lvlJc w:val="left"/>
      <w:pPr>
        <w:tabs>
          <w:tab w:val="num" w:pos="0"/>
        </w:tabs>
        <w:ind w:left="454" w:hanging="341"/>
      </w:pPr>
      <w:rPr>
        <w:rFonts w:ascii="Arial" w:hAnsi="Arial" w:cs="Times New Roman"/>
        <w:b w:val="false"/>
        <w:i w:val="false"/>
        <w:sz w:val="20"/>
      </w:rPr>
    </w:lvl>
    <w:lvl w:ilvl="1">
      <w:start w:val="1"/>
      <w:numFmt w:val="decimal"/>
      <w:lvlText w:val="%2)"/>
      <w:lvlJc w:val="left"/>
      <w:pPr>
        <w:tabs>
          <w:tab w:val="num" w:pos="0"/>
        </w:tabs>
        <w:ind w:left="720" w:hanging="360"/>
      </w:pPr>
      <w:rPr/>
    </w:lvl>
    <w:lvl w:ilvl="2">
      <w:start w:val="1"/>
      <w:numFmt w:val="lowerLetter"/>
      <w:lvlText w:val="%3)"/>
      <w:lvlJc w:val="right"/>
      <w:pPr>
        <w:tabs>
          <w:tab w:val="num" w:pos="0"/>
        </w:tabs>
        <w:ind w:left="851" w:hanging="57"/>
      </w:pPr>
      <w:rPr/>
    </w:lvl>
    <w:lvl w:ilvl="3">
      <w:start w:val="1"/>
      <w:numFmt w:val="none"/>
      <w:suff w:val="nothing"/>
      <w:lvlText w:val="-"/>
      <w:lvlJc w:val="left"/>
      <w:pPr>
        <w:tabs>
          <w:tab w:val="num" w:pos="0"/>
        </w:tabs>
        <w:ind w:left="794" w:hanging="171"/>
      </w:pPr>
      <w:rPr/>
    </w:lvl>
    <w:lvl w:ilvl="4">
      <w:start w:val="1"/>
      <w:numFmt w:val="lowerLetter"/>
      <w:lvlText w:val="%5."/>
      <w:lvlJc w:val="left"/>
      <w:pPr>
        <w:tabs>
          <w:tab w:val="num" w:pos="0"/>
        </w:tabs>
        <w:ind w:left="964" w:hanging="171"/>
      </w:pPr>
      <w:rPr/>
    </w:lvl>
    <w:lvl w:ilvl="5">
      <w:start w:val="1"/>
      <w:numFmt w:val="lowerRoman"/>
      <w:lvlText w:val="%6."/>
      <w:lvlJc w:val="right"/>
      <w:pPr>
        <w:tabs>
          <w:tab w:val="num" w:pos="0"/>
        </w:tabs>
        <w:ind w:left="1134" w:hanging="171"/>
      </w:pPr>
      <w:rPr/>
    </w:lvl>
    <w:lvl w:ilvl="6">
      <w:start w:val="1"/>
      <w:numFmt w:val="decimal"/>
      <w:lvlText w:val="%7."/>
      <w:lvlJc w:val="left"/>
      <w:pPr>
        <w:tabs>
          <w:tab w:val="num" w:pos="0"/>
        </w:tabs>
        <w:ind w:left="1304" w:hanging="171"/>
      </w:pPr>
      <w:rPr/>
    </w:lvl>
    <w:lvl w:ilvl="7">
      <w:start w:val="1"/>
      <w:numFmt w:val="lowerLetter"/>
      <w:lvlText w:val="%8."/>
      <w:lvlJc w:val="left"/>
      <w:pPr>
        <w:tabs>
          <w:tab w:val="num" w:pos="0"/>
        </w:tabs>
        <w:ind w:left="1474" w:hanging="171"/>
      </w:pPr>
      <w:rPr/>
    </w:lvl>
    <w:lvl w:ilvl="8">
      <w:start w:val="1"/>
      <w:numFmt w:val="lowerRoman"/>
      <w:lvlText w:val="%9."/>
      <w:lvlJc w:val="right"/>
      <w:pPr>
        <w:tabs>
          <w:tab w:val="num" w:pos="0"/>
        </w:tabs>
        <w:ind w:left="1644" w:hanging="171"/>
      </w:pPr>
      <w:rPr/>
    </w:lvl>
  </w:abstractNum>
  <w:abstractNum w:abstractNumId="52">
    <w:lvl w:ilvl="0">
      <w:start w:val="10"/>
      <w:numFmt w:val="decimal"/>
      <w:lvlText w:val="§ %1."/>
      <w:lvlJc w:val="left"/>
      <w:pPr>
        <w:tabs>
          <w:tab w:val="num" w:pos="680"/>
        </w:tabs>
        <w:ind w:left="680" w:hanging="680"/>
      </w:pPr>
      <w:rPr>
        <w:rFonts w:ascii="Bookman Old Style" w:hAnsi="Bookman Old Style" w:cs="Bookman Old Style"/>
        <w:b/>
        <w:bCs/>
        <w:i w:val="false"/>
        <w:iCs w:val="false"/>
        <w:sz w:val="20"/>
        <w:szCs w:val="20"/>
      </w:rPr>
    </w:lvl>
    <w:lvl w:ilvl="1">
      <w:start w:val="4"/>
      <w:numFmt w:val="decimal"/>
      <w:lvlText w:val="%2."/>
      <w:lvlJc w:val="left"/>
      <w:pPr>
        <w:tabs>
          <w:tab w:val="num" w:pos="0"/>
        </w:tabs>
        <w:ind w:left="360" w:hanging="360"/>
      </w:pPr>
      <w:rPr/>
    </w:lvl>
    <w:lvl w:ilvl="2">
      <w:start w:val="1"/>
      <w:numFmt w:val="lowerLetter"/>
      <w:lvlText w:val="%3)"/>
      <w:lvlJc w:val="left"/>
      <w:pPr>
        <w:tabs>
          <w:tab w:val="num" w:pos="1361"/>
        </w:tabs>
        <w:ind w:left="1361" w:hanging="681"/>
      </w:pPr>
      <w:rPr>
        <w:rFonts w:ascii="Tahoma" w:hAnsi="Tahoma" w:cs="Tahoma"/>
        <w:b w:val="false"/>
        <w:bCs w:val="false"/>
        <w:i w:val="false"/>
        <w:iCs w:val="false"/>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53">
    <w:lvl w:ilvl="0">
      <w:start w:val="2"/>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1">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3">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5">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360"/>
      </w:pPr>
      <w:rPr/>
    </w:lvl>
    <w:lvl w:ilvl="2">
      <w:start w:val="1"/>
      <w:numFmt w:val="decimal"/>
      <w:lvlText w:val="%1.%2.%3."/>
      <w:lvlJc w:val="left"/>
      <w:pPr>
        <w:tabs>
          <w:tab w:val="num" w:pos="0"/>
        </w:tabs>
        <w:ind w:left="1224" w:hanging="180"/>
      </w:pPr>
      <w:rPr/>
    </w:lvl>
    <w:lvl w:ilvl="3">
      <w:start w:val="1"/>
      <w:numFmt w:val="decimal"/>
      <w:lvlText w:val="%1.%2.%3.%4."/>
      <w:lvlJc w:val="left"/>
      <w:pPr>
        <w:tabs>
          <w:tab w:val="num" w:pos="0"/>
        </w:tabs>
        <w:ind w:left="1728" w:hanging="360"/>
      </w:pPr>
      <w:rPr/>
    </w:lvl>
    <w:lvl w:ilvl="4">
      <w:start w:val="1"/>
      <w:numFmt w:val="decimal"/>
      <w:lvlText w:val="%1.%2.%3.%4.%5."/>
      <w:lvlJc w:val="left"/>
      <w:pPr>
        <w:tabs>
          <w:tab w:val="num" w:pos="0"/>
        </w:tabs>
        <w:ind w:left="2232" w:hanging="360"/>
      </w:pPr>
      <w:rPr/>
    </w:lvl>
    <w:lvl w:ilvl="5">
      <w:start w:val="1"/>
      <w:numFmt w:val="decimal"/>
      <w:lvlText w:val="%1.%2.%3.%4.%5.%6."/>
      <w:lvlJc w:val="left"/>
      <w:pPr>
        <w:tabs>
          <w:tab w:val="num" w:pos="0"/>
        </w:tabs>
        <w:ind w:left="2736" w:hanging="180"/>
      </w:pPr>
      <w:rPr/>
    </w:lvl>
    <w:lvl w:ilvl="6">
      <w:start w:val="1"/>
      <w:numFmt w:val="decimal"/>
      <w:lvlText w:val="%1.%2.%3.%4.%5.%6.%7."/>
      <w:lvlJc w:val="left"/>
      <w:pPr>
        <w:tabs>
          <w:tab w:val="num" w:pos="0"/>
        </w:tabs>
        <w:ind w:left="3240" w:hanging="360"/>
      </w:pPr>
      <w:rPr/>
    </w:lvl>
    <w:lvl w:ilvl="7">
      <w:start w:val="1"/>
      <w:numFmt w:val="decimal"/>
      <w:lvlText w:val="%1.%2.%3.%4.%5.%6.%7.%8."/>
      <w:lvlJc w:val="left"/>
      <w:pPr>
        <w:tabs>
          <w:tab w:val="num" w:pos="0"/>
        </w:tabs>
        <w:ind w:left="3744" w:hanging="360"/>
      </w:pPr>
      <w:rPr/>
    </w:lvl>
    <w:lvl w:ilvl="8">
      <w:start w:val="1"/>
      <w:numFmt w:val="decimal"/>
      <w:lvlText w:val="%1.%2.%3.%4.%5.%6.%7.%8.%9."/>
      <w:lvlJc w:val="left"/>
      <w:pPr>
        <w:tabs>
          <w:tab w:val="num" w:pos="0"/>
        </w:tabs>
        <w:ind w:left="4320" w:hanging="180"/>
      </w:pPr>
      <w:rPr/>
    </w:lvl>
  </w:abstractNum>
  <w:abstractNum w:abstractNumId="7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right"/>
      <w:pPr>
        <w:tabs>
          <w:tab w:val="num" w:pos="0"/>
        </w:tabs>
        <w:ind w:left="360" w:hanging="360"/>
      </w:pPr>
      <w:rPr>
        <w:b w:val="false"/>
        <w:bCs w:val="false"/>
        <w:strike w:val="false"/>
        <w:dstrike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right"/>
      <w:pPr>
        <w:tabs>
          <w:tab w:val="num" w:pos="0"/>
        </w:tabs>
        <w:ind w:left="360" w:hanging="360"/>
      </w:pPr>
      <w:rPr>
        <w:b w:val="false"/>
        <w:bCs w:val="false"/>
        <w:strike w:val="false"/>
        <w:dstrike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right"/>
      <w:pPr>
        <w:tabs>
          <w:tab w:val="num" w:pos="0"/>
        </w:tabs>
        <w:ind w:left="360" w:hanging="360"/>
      </w:pPr>
      <w:rPr>
        <w:b w:val="false"/>
        <w:bCs w:val="false"/>
        <w:strike w:val="false"/>
        <w:dstrike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right"/>
      <w:pPr>
        <w:tabs>
          <w:tab w:val="num" w:pos="0"/>
        </w:tabs>
        <w:ind w:left="360" w:hanging="360"/>
      </w:pPr>
      <w:rPr>
        <w:b w:val="false"/>
        <w:bCs w:val="false"/>
        <w:strike w:val="false"/>
        <w:dstrike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right"/>
      <w:pPr>
        <w:tabs>
          <w:tab w:val="num" w:pos="0"/>
        </w:tabs>
        <w:ind w:left="360" w:hanging="360"/>
      </w:pPr>
      <w:rPr>
        <w:b w:val="false"/>
        <w:bCs w:val="false"/>
        <w:strike w:val="false"/>
        <w:dstrike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val="false"/>
        <w:bCs w:val="false"/>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i w:val="false"/>
        <w:iCs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quot;Courier New&quot;" w:hAnsi="&quot;Courier New&quot;" w:cs="&quot;Courier New&quot;"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lvl w:ilvl="0">
      <w:start w:val="1"/>
      <w:numFmt w:val="bullet"/>
      <w:lvlText w:val="o"/>
      <w:lvlJc w:val="left"/>
      <w:pPr>
        <w:tabs>
          <w:tab w:val="num" w:pos="0"/>
        </w:tabs>
        <w:ind w:left="720" w:hanging="360"/>
      </w:pPr>
      <w:rPr>
        <w:rFonts w:ascii="&quot;Courier New&quot;" w:hAnsi="&quot;Courier New&quot;" w:cs="&quot;Courier New&quo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lvl w:ilvl="0">
      <w:start w:val="1"/>
      <w:numFmt w:val="decimal"/>
      <w:lvlText w:val="§ %1."/>
      <w:lvlJc w:val="left"/>
      <w:pPr>
        <w:tabs>
          <w:tab w:val="num" w:pos="851"/>
        </w:tabs>
        <w:ind w:left="0" w:hanging="0"/>
      </w:pPr>
      <w:rPr>
        <w:rFonts w:ascii="Calibri" w:hAnsi="Calibri" w:cs="Times New Roman"/>
        <w:b/>
        <w:i w:val="false"/>
        <w:sz w:val="22"/>
        <w:szCs w:val="20"/>
      </w:rPr>
    </w:lvl>
    <w:lvl w:ilvl="1">
      <w:start w:val="1"/>
      <w:numFmt w:val="decimal"/>
      <w:isLgl/>
      <w:lvlText w:val="%2."/>
      <w:lvlJc w:val="left"/>
      <w:pPr>
        <w:tabs>
          <w:tab w:val="num" w:pos="0"/>
        </w:tabs>
        <w:ind w:left="567" w:hanging="567"/>
      </w:pPr>
      <w:rPr/>
    </w:lvl>
    <w:lvl w:ilvl="2">
      <w:start w:val="1"/>
      <w:numFmt w:val="decimal"/>
      <w:isLgl/>
      <w:lvlText w:val="%2.%3"/>
      <w:lvlJc w:val="right"/>
      <w:pPr>
        <w:tabs>
          <w:tab w:val="num" w:pos="0"/>
        </w:tabs>
        <w:ind w:left="907" w:hanging="170"/>
      </w:pPr>
      <w:rPr/>
    </w:lvl>
    <w:lvl w:ilvl="3">
      <w:start w:val="1"/>
      <w:numFmt w:val="lowerLetter"/>
      <w:lvlText w:val="%4."/>
      <w:lvlJc w:val="left"/>
      <w:pPr>
        <w:tabs>
          <w:tab w:val="num" w:pos="0"/>
        </w:tabs>
        <w:ind w:left="907" w:hanging="283"/>
      </w:pPr>
      <w:rPr/>
    </w:lvl>
    <w:lvl w:ilvl="4">
      <w:start w:val="1"/>
      <w:numFmt w:val="lowerLetter"/>
      <w:lvlText w:val="%5."/>
      <w:lvlJc w:val="left"/>
      <w:pPr>
        <w:tabs>
          <w:tab w:val="num" w:pos="0"/>
        </w:tabs>
        <w:ind w:left="1247" w:hanging="283"/>
      </w:pPr>
      <w:rPr/>
    </w:lvl>
    <w:lvl w:ilvl="5">
      <w:start w:val="1"/>
      <w:numFmt w:val="lowerRoman"/>
      <w:lvlText w:val="%6."/>
      <w:lvlJc w:val="right"/>
      <w:pPr>
        <w:tabs>
          <w:tab w:val="num" w:pos="0"/>
        </w:tabs>
        <w:ind w:left="5341" w:hanging="180"/>
      </w:pPr>
      <w:rPr/>
    </w:lvl>
    <w:lvl w:ilvl="6">
      <w:start w:val="1"/>
      <w:numFmt w:val="decimal"/>
      <w:lvlText w:val="%7."/>
      <w:lvlJc w:val="left"/>
      <w:pPr>
        <w:tabs>
          <w:tab w:val="num" w:pos="0"/>
        </w:tabs>
        <w:ind w:left="6061" w:hanging="360"/>
      </w:pPr>
      <w:rPr/>
    </w:lvl>
    <w:lvl w:ilvl="7">
      <w:start w:val="1"/>
      <w:numFmt w:val="lowerLetter"/>
      <w:lvlText w:val="%8."/>
      <w:lvlJc w:val="left"/>
      <w:pPr>
        <w:tabs>
          <w:tab w:val="num" w:pos="0"/>
        </w:tabs>
        <w:ind w:left="6781" w:hanging="360"/>
      </w:pPr>
      <w:rPr/>
    </w:lvl>
    <w:lvl w:ilvl="8">
      <w:start w:val="1"/>
      <w:numFmt w:val="lowerRoman"/>
      <w:lvlText w:val="%9."/>
      <w:lvlJc w:val="right"/>
      <w:pPr>
        <w:tabs>
          <w:tab w:val="num" w:pos="0"/>
        </w:tabs>
        <w:ind w:left="7501" w:hanging="180"/>
      </w:pPr>
      <w:rPr/>
    </w:lvl>
  </w:abstractNum>
  <w:abstractNum w:abstractNumId="126">
    <w:lvl w:ilvl="0">
      <w:start w:val="1"/>
      <w:numFmt w:val="decimal"/>
      <w:lvlText w:val="§ %1."/>
      <w:lvlJc w:val="left"/>
      <w:pPr>
        <w:tabs>
          <w:tab w:val="num" w:pos="851"/>
        </w:tabs>
        <w:ind w:left="0" w:hanging="0"/>
      </w:pPr>
      <w:rPr>
        <w:rFonts w:ascii="Calibri" w:hAnsi="Calibri" w:cs="Times New Roman"/>
        <w:b/>
        <w:i w:val="false"/>
        <w:sz w:val="22"/>
        <w:szCs w:val="20"/>
      </w:rPr>
    </w:lvl>
    <w:lvl w:ilvl="1">
      <w:start w:val="1"/>
      <w:numFmt w:val="decimal"/>
      <w:isLgl/>
      <w:lvlText w:val="%2."/>
      <w:lvlJc w:val="left"/>
      <w:pPr>
        <w:tabs>
          <w:tab w:val="num" w:pos="0"/>
        </w:tabs>
        <w:ind w:left="567" w:hanging="567"/>
      </w:pPr>
      <w:rPr/>
    </w:lvl>
    <w:lvl w:ilvl="2">
      <w:start w:val="1"/>
      <w:numFmt w:val="decimal"/>
      <w:isLgl/>
      <w:lvlText w:val="%2.%3"/>
      <w:lvlJc w:val="right"/>
      <w:pPr>
        <w:tabs>
          <w:tab w:val="num" w:pos="0"/>
        </w:tabs>
        <w:ind w:left="907" w:hanging="170"/>
      </w:pPr>
      <w:rPr/>
    </w:lvl>
    <w:lvl w:ilvl="3">
      <w:start w:val="1"/>
      <w:numFmt w:val="lowerLetter"/>
      <w:lvlText w:val="%4."/>
      <w:lvlJc w:val="left"/>
      <w:pPr>
        <w:tabs>
          <w:tab w:val="num" w:pos="0"/>
        </w:tabs>
        <w:ind w:left="907" w:hanging="283"/>
      </w:pPr>
      <w:rPr/>
    </w:lvl>
    <w:lvl w:ilvl="4">
      <w:start w:val="1"/>
      <w:numFmt w:val="lowerLetter"/>
      <w:lvlText w:val="%5."/>
      <w:lvlJc w:val="left"/>
      <w:pPr>
        <w:tabs>
          <w:tab w:val="num" w:pos="0"/>
        </w:tabs>
        <w:ind w:left="1247" w:hanging="283"/>
      </w:pPr>
      <w:rPr/>
    </w:lvl>
    <w:lvl w:ilvl="5">
      <w:start w:val="1"/>
      <w:numFmt w:val="lowerRoman"/>
      <w:lvlText w:val="%6."/>
      <w:lvlJc w:val="right"/>
      <w:pPr>
        <w:tabs>
          <w:tab w:val="num" w:pos="0"/>
        </w:tabs>
        <w:ind w:left="5341" w:hanging="180"/>
      </w:pPr>
      <w:rPr/>
    </w:lvl>
    <w:lvl w:ilvl="6">
      <w:start w:val="1"/>
      <w:numFmt w:val="decimal"/>
      <w:lvlText w:val="%7."/>
      <w:lvlJc w:val="left"/>
      <w:pPr>
        <w:tabs>
          <w:tab w:val="num" w:pos="0"/>
        </w:tabs>
        <w:ind w:left="6061" w:hanging="360"/>
      </w:pPr>
      <w:rPr/>
    </w:lvl>
    <w:lvl w:ilvl="7">
      <w:start w:val="1"/>
      <w:numFmt w:val="lowerLetter"/>
      <w:lvlText w:val="%8."/>
      <w:lvlJc w:val="left"/>
      <w:pPr>
        <w:tabs>
          <w:tab w:val="num" w:pos="0"/>
        </w:tabs>
        <w:ind w:left="6781" w:hanging="360"/>
      </w:pPr>
      <w:rPr/>
    </w:lvl>
    <w:lvl w:ilvl="8">
      <w:start w:val="1"/>
      <w:numFmt w:val="lowerRoman"/>
      <w:lvlText w:val="%9."/>
      <w:lvlJc w:val="right"/>
      <w:pPr>
        <w:tabs>
          <w:tab w:val="num" w:pos="0"/>
        </w:tabs>
        <w:ind w:left="7501" w:hanging="180"/>
      </w:pPr>
      <w:rPr/>
    </w:lvl>
  </w:abstractNum>
  <w:abstractNum w:abstractNumId="1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6"/>
    <w:lvlOverride w:ilvl="0">
      <w:startOverride w:val="1"/>
    </w:lvlOverride>
    <w:lvlOverride w:ilvl="1">
      <w:startOverride w:val="1"/>
    </w:lvlOverride>
  </w:num>
</w:numbering>
</file>

<file path=word/settings.xml><?xml version="1.0" encoding="utf-8"?>
<w:settings xmlns:w="http://schemas.openxmlformats.org/wordprocessingml/2006/main">
  <w:zoom w:percent="100"/>
  <w:defaultTabStop w:val="708"/>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290f"/>
    <w:pPr>
      <w:widowControl/>
      <w:suppressAutoHyphens w:val="true"/>
      <w:bidi w:val="0"/>
      <w:spacing w:lineRule="auto" w:line="276" w:before="0" w:after="200"/>
      <w:jc w:val="left"/>
    </w:pPr>
    <w:rPr>
      <w:rFonts w:ascii="Calibri" w:hAnsi="Calibri" w:eastAsia="Calibri" w:cs="Times New Roman"/>
      <w:color w:val="00000A"/>
      <w:kern w:val="0"/>
      <w:sz w:val="22"/>
      <w:szCs w:val="22"/>
      <w:lang w:val="pl-PL" w:eastAsia="en-US" w:bidi="ar-SA"/>
    </w:rPr>
  </w:style>
  <w:style w:type="paragraph" w:styleId="Heading1">
    <w:name w:val="heading 1"/>
    <w:basedOn w:val="Normal"/>
    <w:next w:val="Normal"/>
    <w:link w:val="Nagwek1Znak"/>
    <w:uiPriority w:val="9"/>
    <w:qFormat/>
    <w:rsid w:val="00b478bb"/>
    <w:pPr>
      <w:keepNext w:val="true"/>
      <w:keepLines/>
      <w:spacing w:lineRule="auto" w:line="240"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Nagwek2Znak"/>
    <w:uiPriority w:val="9"/>
    <w:semiHidden/>
    <w:unhideWhenUsed/>
    <w:qFormat/>
    <w:rsid w:val="00513707"/>
    <w:pPr>
      <w:keepNext w:val="true"/>
      <w:keepLines/>
      <w:spacing w:lineRule="auto" w:line="259" w:before="160" w:after="80"/>
      <w:outlineLvl w:val="1"/>
    </w:pPr>
    <w:rPr>
      <w:rFonts w:ascii="Cambria" w:hAnsi="Cambria" w:eastAsia="" w:cs="" w:asciiTheme="majorHAnsi" w:cstheme="majorBidi" w:eastAsiaTheme="majorEastAsia" w:hAnsiTheme="majorHAnsi"/>
      <w:color w:themeColor="accent1" w:themeShade="bf" w:val="365F91"/>
      <w:kern w:val="2"/>
      <w:sz w:val="32"/>
      <w:szCs w:val="32"/>
      <w14:ligatures w14:val="standardContextual"/>
    </w:rPr>
  </w:style>
  <w:style w:type="paragraph" w:styleId="Heading3">
    <w:name w:val="heading 3"/>
    <w:basedOn w:val="Normal"/>
    <w:next w:val="Normal"/>
    <w:link w:val="Nagwek3Znak"/>
    <w:uiPriority w:val="9"/>
    <w:semiHidden/>
    <w:unhideWhenUsed/>
    <w:qFormat/>
    <w:rsid w:val="00513707"/>
    <w:pPr>
      <w:keepNext w:val="true"/>
      <w:keepLines/>
      <w:spacing w:lineRule="auto" w:line="259" w:before="160" w:after="80"/>
      <w:outlineLvl w:val="2"/>
    </w:pPr>
    <w:rPr>
      <w:rFonts w:eastAsia="" w:cs="" w:cstheme="majorBidi" w:eastAsiaTheme="majorEastAsia"/>
      <w:color w:themeColor="accent1" w:themeShade="bf" w:val="365F91"/>
      <w:kern w:val="2"/>
      <w:sz w:val="28"/>
      <w:szCs w:val="28"/>
      <w14:ligatures w14:val="standardContextual"/>
    </w:rPr>
  </w:style>
  <w:style w:type="paragraph" w:styleId="Heading4">
    <w:name w:val="heading 4"/>
    <w:basedOn w:val="Normal"/>
    <w:next w:val="Normal"/>
    <w:link w:val="Nagwek4Znak"/>
    <w:uiPriority w:val="9"/>
    <w:semiHidden/>
    <w:unhideWhenUsed/>
    <w:qFormat/>
    <w:rsid w:val="00513707"/>
    <w:pPr>
      <w:keepNext w:val="true"/>
      <w:keepLines/>
      <w:spacing w:lineRule="auto" w:line="259" w:before="80" w:after="40"/>
      <w:outlineLvl w:val="3"/>
    </w:pPr>
    <w:rPr>
      <w:rFonts w:eastAsia="" w:cs="" w:cstheme="majorBidi" w:eastAsiaTheme="majorEastAsia"/>
      <w:i/>
      <w:iCs/>
      <w:color w:themeColor="accent1" w:themeShade="bf" w:val="365F91"/>
      <w:kern w:val="2"/>
      <w14:ligatures w14:val="standardContextual"/>
    </w:rPr>
  </w:style>
  <w:style w:type="paragraph" w:styleId="Heading5">
    <w:name w:val="heading 5"/>
    <w:basedOn w:val="Normal"/>
    <w:next w:val="Normal"/>
    <w:link w:val="Nagwek5Znak"/>
    <w:uiPriority w:val="9"/>
    <w:semiHidden/>
    <w:unhideWhenUsed/>
    <w:qFormat/>
    <w:rsid w:val="00513707"/>
    <w:pPr>
      <w:keepNext w:val="true"/>
      <w:keepLines/>
      <w:spacing w:lineRule="auto" w:line="259" w:before="80" w:after="40"/>
      <w:outlineLvl w:val="4"/>
    </w:pPr>
    <w:rPr>
      <w:rFonts w:eastAsia="" w:cs="" w:cstheme="majorBidi" w:eastAsiaTheme="majorEastAsia"/>
      <w:color w:themeColor="accent1" w:themeShade="bf" w:val="365F91"/>
      <w:kern w:val="2"/>
      <w14:ligatures w14:val="standardContextual"/>
    </w:rPr>
  </w:style>
  <w:style w:type="paragraph" w:styleId="Heading6">
    <w:name w:val="heading 6"/>
    <w:basedOn w:val="Normal"/>
    <w:next w:val="Normal"/>
    <w:link w:val="Nagwek6Znak"/>
    <w:uiPriority w:val="9"/>
    <w:semiHidden/>
    <w:unhideWhenUsed/>
    <w:qFormat/>
    <w:rsid w:val="00513707"/>
    <w:pPr>
      <w:keepNext w:val="true"/>
      <w:keepLines/>
      <w:spacing w:lineRule="auto" w:line="259" w:before="40" w:after="0"/>
      <w:outlineLvl w:val="5"/>
    </w:pPr>
    <w:rPr>
      <w:rFonts w:eastAsia="" w:cs="" w:cstheme="majorBidi" w:eastAsiaTheme="majorEastAsia"/>
      <w:i/>
      <w:iCs/>
      <w:color w:themeColor="text1" w:themeTint="a6" w:val="595959"/>
      <w:kern w:val="2"/>
      <w14:ligatures w14:val="standardContextual"/>
    </w:rPr>
  </w:style>
  <w:style w:type="paragraph" w:styleId="Heading7">
    <w:name w:val="heading 7"/>
    <w:basedOn w:val="Normal"/>
    <w:next w:val="Normal"/>
    <w:link w:val="Nagwek7Znak"/>
    <w:uiPriority w:val="9"/>
    <w:semiHidden/>
    <w:unhideWhenUsed/>
    <w:qFormat/>
    <w:rsid w:val="00513707"/>
    <w:pPr>
      <w:keepNext w:val="true"/>
      <w:keepLines/>
      <w:spacing w:lineRule="auto" w:line="259" w:before="40" w:after="0"/>
      <w:outlineLvl w:val="6"/>
    </w:pPr>
    <w:rPr>
      <w:rFonts w:eastAsia="" w:cs="" w:cstheme="majorBidi" w:eastAsiaTheme="majorEastAsia"/>
      <w:color w:themeColor="text1" w:themeTint="a6" w:val="595959"/>
      <w:kern w:val="2"/>
      <w14:ligatures w14:val="standardContextual"/>
    </w:rPr>
  </w:style>
  <w:style w:type="paragraph" w:styleId="Heading8">
    <w:name w:val="heading 8"/>
    <w:basedOn w:val="Normal"/>
    <w:next w:val="Normal"/>
    <w:link w:val="Nagwek8Znak"/>
    <w:uiPriority w:val="9"/>
    <w:semiHidden/>
    <w:unhideWhenUsed/>
    <w:qFormat/>
    <w:rsid w:val="00513707"/>
    <w:pPr>
      <w:keepNext w:val="true"/>
      <w:keepLines/>
      <w:spacing w:lineRule="auto" w:line="259" w:before="0" w:after="0"/>
      <w:outlineLvl w:val="7"/>
    </w:pPr>
    <w:rPr>
      <w:rFonts w:eastAsia="" w:cs="" w:cstheme="majorBidi" w:eastAsiaTheme="majorEastAsia"/>
      <w:i/>
      <w:iCs/>
      <w:color w:themeColor="text1" w:themeTint="d8" w:val="272727"/>
      <w:kern w:val="2"/>
      <w14:ligatures w14:val="standardContextual"/>
    </w:rPr>
  </w:style>
  <w:style w:type="paragraph" w:styleId="Heading9">
    <w:name w:val="heading 9"/>
    <w:basedOn w:val="Normal"/>
    <w:next w:val="Normal"/>
    <w:link w:val="Nagwek9Znak"/>
    <w:uiPriority w:val="9"/>
    <w:semiHidden/>
    <w:unhideWhenUsed/>
    <w:qFormat/>
    <w:rsid w:val="00513707"/>
    <w:pPr>
      <w:keepNext w:val="true"/>
      <w:keepLines/>
      <w:spacing w:lineRule="auto" w:line="259" w:before="0" w:after="0"/>
      <w:outlineLvl w:val="8"/>
    </w:pPr>
    <w:rPr>
      <w:rFonts w:eastAsia="" w:cs="" w:cstheme="majorBidi" w:eastAsiaTheme="majorEastAsia"/>
      <w:color w:themeColor="text1" w:themeTint="d8" w:val="272727"/>
      <w:kern w:val="2"/>
      <w14:ligatures w14:val="standardContextual"/>
    </w:rPr>
  </w:style>
  <w:style w:type="character" w:styleId="DefaultParagraphFont" w:default="1">
    <w:name w:val="Default Paragraph Font"/>
    <w:uiPriority w:val="1"/>
    <w:semiHidden/>
    <w:unhideWhenUsed/>
    <w:qFormat/>
    <w:rPr/>
  </w:style>
  <w:style w:type="character" w:styleId="Strong">
    <w:name w:val="Strong"/>
    <w:uiPriority w:val="22"/>
    <w:qFormat/>
    <w:rsid w:val="009c290f"/>
    <w:rPr>
      <w:b/>
      <w:bCs/>
    </w:rPr>
  </w:style>
  <w:style w:type="character" w:styleId="text" w:customStyle="1">
    <w:name w:val="text"/>
    <w:qFormat/>
    <w:rsid w:val="009c290f"/>
    <w:rPr/>
  </w:style>
  <w:style w:type="character" w:styleId="StopkaZnak" w:customStyle="1">
    <w:name w:val="Stopka Znak"/>
    <w:basedOn w:val="DefaultParagraphFont"/>
    <w:uiPriority w:val="99"/>
    <w:qFormat/>
    <w:rsid w:val="00c12b1e"/>
    <w:rPr>
      <w:rFonts w:ascii="Times New Roman" w:hAnsi="Times New Roman" w:eastAsia="Times New Roman" w:cs="Times New Roman"/>
      <w:sz w:val="24"/>
      <w:szCs w:val="24"/>
      <w:lang w:eastAsia="ar-SA"/>
    </w:rPr>
  </w:style>
  <w:style w:type="character" w:styleId="NagwekZnak" w:customStyle="1">
    <w:name w:val="Nagłówek Znak"/>
    <w:basedOn w:val="DefaultParagraphFont"/>
    <w:uiPriority w:val="99"/>
    <w:qFormat/>
    <w:rsid w:val="00c12b1e"/>
    <w:rPr>
      <w:rFonts w:ascii="Calibri" w:hAnsi="Calibri" w:eastAsia="Calibri" w:cs="Times New Roman"/>
      <w:sz w:val="24"/>
      <w:szCs w:val="20"/>
      <w:lang w:eastAsia="ar-SA"/>
    </w:rPr>
  </w:style>
  <w:style w:type="character" w:styleId="PageNumber">
    <w:name w:val="page number"/>
    <w:uiPriority w:val="99"/>
    <w:qFormat/>
    <w:rsid w:val="00c12b1e"/>
    <w:rPr>
      <w:rFonts w:cs="Times New Roman"/>
    </w:rPr>
  </w:style>
  <w:style w:type="character" w:styleId="TekstkomentarzaZnak" w:customStyle="1">
    <w:name w:val="Tekst komentarza Znak"/>
    <w:basedOn w:val="DefaultParagraphFont"/>
    <w:link w:val="CommentText"/>
    <w:uiPriority w:val="99"/>
    <w:qFormat/>
    <w:rsid w:val="00c12b1e"/>
    <w:rPr>
      <w:rFonts w:ascii="Times New Roman" w:hAnsi="Times New Roman" w:eastAsia="Times New Roman" w:cs="Times New Roman"/>
      <w:sz w:val="20"/>
      <w:szCs w:val="20"/>
      <w:lang w:eastAsia="pl-PL"/>
    </w:rPr>
  </w:style>
  <w:style w:type="character" w:styleId="CommentReference">
    <w:name w:val="annotation reference"/>
    <w:uiPriority w:val="99"/>
    <w:qFormat/>
    <w:rsid w:val="00c12b1e"/>
    <w:rPr>
      <w:rFonts w:cs="Times New Roman"/>
      <w:sz w:val="16"/>
      <w:szCs w:val="16"/>
    </w:rPr>
  </w:style>
  <w:style w:type="character" w:styleId="TekstdymkaZnak" w:customStyle="1">
    <w:name w:val="Tekst dymka Znak"/>
    <w:basedOn w:val="DefaultParagraphFont"/>
    <w:link w:val="BalloonText"/>
    <w:uiPriority w:val="99"/>
    <w:semiHidden/>
    <w:qFormat/>
    <w:rsid w:val="00c12b1e"/>
    <w:rPr>
      <w:rFonts w:ascii="Tahoma" w:hAnsi="Tahoma" w:eastAsia="Calibri" w:cs="Tahoma"/>
      <w:sz w:val="16"/>
      <w:szCs w:val="16"/>
    </w:rPr>
  </w:style>
  <w:style w:type="character" w:styleId="TematkomentarzaZnak" w:customStyle="1">
    <w:name w:val="Temat komentarza Znak"/>
    <w:basedOn w:val="TekstkomentarzaZnak"/>
    <w:link w:val="annotationsubject"/>
    <w:uiPriority w:val="99"/>
    <w:semiHidden/>
    <w:qFormat/>
    <w:rsid w:val="00444cf5"/>
    <w:rPr>
      <w:rFonts w:ascii="Times New Roman" w:hAnsi="Times New Roman" w:eastAsia="Times New Roman" w:cs="Times New Roman"/>
      <w:b/>
      <w:bCs/>
      <w:color w:val="00000A"/>
      <w:sz w:val="20"/>
      <w:szCs w:val="20"/>
      <w:lang w:eastAsia="pl-PL"/>
    </w:rPr>
  </w:style>
  <w:style w:type="character" w:styleId="TytuZnak" w:customStyle="1">
    <w:name w:val="Tytuł Znak"/>
    <w:basedOn w:val="DefaultParagraphFont"/>
    <w:uiPriority w:val="10"/>
    <w:qFormat/>
    <w:rsid w:val="00694662"/>
    <w:rPr>
      <w:rFonts w:ascii="Cambria" w:hAnsi="Cambria" w:eastAsia="" w:cs="" w:asciiTheme="majorHAnsi" w:cstheme="majorBidi" w:eastAsiaTheme="majorEastAsia" w:hAnsiTheme="majorHAnsi"/>
      <w:spacing w:val="-10"/>
      <w:kern w:val="2"/>
      <w:sz w:val="56"/>
      <w:szCs w:val="56"/>
    </w:rPr>
  </w:style>
  <w:style w:type="character" w:styleId="Hyperlink">
    <w:name w:val="Hyperlink"/>
    <w:rsid w:val="008d3461"/>
    <w:rPr>
      <w:color w:val="0000FF"/>
      <w:u w:val="single"/>
    </w:rPr>
  </w:style>
  <w:style w:type="character" w:styleId="Nagwek1Znak" w:customStyle="1">
    <w:name w:val="Nagłówek 1 Znak"/>
    <w:basedOn w:val="DefaultParagraphFont"/>
    <w:uiPriority w:val="9"/>
    <w:qFormat/>
    <w:rsid w:val="00b478bb"/>
    <w:rPr>
      <w:rFonts w:ascii="Cambria" w:hAnsi="Cambria" w:eastAsia="" w:cs="" w:asciiTheme="majorHAnsi" w:cstheme="majorBidi" w:eastAsiaTheme="majorEastAsia" w:hAnsiTheme="majorHAnsi"/>
      <w:color w:themeColor="accent1" w:themeShade="bf" w:val="365F91"/>
      <w:sz w:val="32"/>
      <w:szCs w:val="32"/>
    </w:rPr>
  </w:style>
  <w:style w:type="character" w:styleId="CytatintensywnyZnak" w:customStyle="1">
    <w:name w:val="Cytat intensywny Znak"/>
    <w:basedOn w:val="DefaultParagraphFont"/>
    <w:link w:val="IntenseQuote"/>
    <w:uiPriority w:val="30"/>
    <w:qFormat/>
    <w:rsid w:val="00b77eb9"/>
    <w:rPr>
      <w:i/>
      <w:iCs/>
      <w:color w:themeColor="accent1" w:themeShade="bf" w:val="365F91"/>
      <w:kern w:val="2"/>
      <w:sz w:val="22"/>
      <w14:ligatures w14:val="standardContextual"/>
    </w:rPr>
  </w:style>
  <w:style w:type="character" w:styleId="UnresolvedMention">
    <w:name w:val="Unresolved Mention"/>
    <w:basedOn w:val="DefaultParagraphFont"/>
    <w:uiPriority w:val="99"/>
    <w:semiHidden/>
    <w:unhideWhenUsed/>
    <w:qFormat/>
    <w:rsid w:val="0004556d"/>
    <w:rPr>
      <w:color w:val="605E5C"/>
      <w:shd w:fill="E1DFDD" w:val="clear"/>
    </w:rPr>
  </w:style>
  <w:style w:type="character" w:styleId="TekstprzypisukocowegoZnak" w:customStyle="1">
    <w:name w:val="Tekst przypisu końcowego Znak"/>
    <w:basedOn w:val="DefaultParagraphFont"/>
    <w:uiPriority w:val="99"/>
    <w:semiHidden/>
    <w:qFormat/>
    <w:rsid w:val="00ef1cc6"/>
    <w:rPr>
      <w:rFonts w:cs="Times New Roman"/>
      <w:color w:val="00000A"/>
      <w:szCs w:val="20"/>
    </w:rPr>
  </w:style>
  <w:style w:type="character" w:styleId="Znakiprzypiswkocowychuser">
    <w:name w:val="Znaki przypisów końcowych (user)"/>
    <w:uiPriority w:val="99"/>
    <w:semiHidden/>
    <w:unhideWhenUsed/>
    <w:qFormat/>
    <w:rsid w:val="00ef1cc6"/>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TekstprzypisudolnegoZnak" w:customStyle="1">
    <w:name w:val="Tekst przypisu dolnego Znak"/>
    <w:basedOn w:val="DefaultParagraphFont"/>
    <w:uiPriority w:val="99"/>
    <w:semiHidden/>
    <w:qFormat/>
    <w:rsid w:val="00ef1cc6"/>
    <w:rPr>
      <w:rFonts w:cs="Times New Roman"/>
      <w:color w:val="00000A"/>
      <w:szCs w:val="20"/>
    </w:rPr>
  </w:style>
  <w:style w:type="character" w:styleId="Znakiprzypiswdolnychuser">
    <w:name w:val="Znaki przypisów dolnych (user)"/>
    <w:uiPriority w:val="99"/>
    <w:semiHidden/>
    <w:unhideWhenUsed/>
    <w:qFormat/>
    <w:rsid w:val="00ef1cc6"/>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Nagwek2Znak" w:customStyle="1">
    <w:name w:val="Nagłówek 2 Znak"/>
    <w:basedOn w:val="DefaultParagraphFont"/>
    <w:uiPriority w:val="9"/>
    <w:semiHidden/>
    <w:qFormat/>
    <w:rsid w:val="00513707"/>
    <w:rPr>
      <w:rFonts w:ascii="Cambria" w:hAnsi="Cambria" w:eastAsia="" w:cs="" w:asciiTheme="majorHAnsi" w:cstheme="majorBidi" w:eastAsiaTheme="majorEastAsia" w:hAnsiTheme="majorHAnsi"/>
      <w:color w:themeColor="accent1" w:themeShade="bf" w:val="365F91"/>
      <w:kern w:val="2"/>
      <w:sz w:val="32"/>
      <w:szCs w:val="32"/>
      <w14:ligatures w14:val="standardContextual"/>
    </w:rPr>
  </w:style>
  <w:style w:type="character" w:styleId="Nagwek3Znak" w:customStyle="1">
    <w:name w:val="Nagłówek 3 Znak"/>
    <w:basedOn w:val="DefaultParagraphFont"/>
    <w:uiPriority w:val="9"/>
    <w:semiHidden/>
    <w:qFormat/>
    <w:rsid w:val="00513707"/>
    <w:rPr>
      <w:rFonts w:eastAsia="" w:cs="" w:cstheme="majorBidi" w:eastAsiaTheme="majorEastAsia"/>
      <w:color w:themeColor="accent1" w:themeShade="bf" w:val="365F91"/>
      <w:kern w:val="2"/>
      <w:sz w:val="28"/>
      <w:szCs w:val="28"/>
      <w14:ligatures w14:val="standardContextual"/>
    </w:rPr>
  </w:style>
  <w:style w:type="character" w:styleId="Nagwek4Znak" w:customStyle="1">
    <w:name w:val="Nagłówek 4 Znak"/>
    <w:basedOn w:val="DefaultParagraphFont"/>
    <w:uiPriority w:val="9"/>
    <w:semiHidden/>
    <w:qFormat/>
    <w:rsid w:val="00513707"/>
    <w:rPr>
      <w:rFonts w:eastAsia="" w:cs="" w:cstheme="majorBidi" w:eastAsiaTheme="majorEastAsia"/>
      <w:i/>
      <w:iCs/>
      <w:color w:themeColor="accent1" w:themeShade="bf" w:val="365F91"/>
      <w:kern w:val="2"/>
      <w:sz w:val="22"/>
      <w14:ligatures w14:val="standardContextual"/>
    </w:rPr>
  </w:style>
  <w:style w:type="character" w:styleId="Nagwek5Znak" w:customStyle="1">
    <w:name w:val="Nagłówek 5 Znak"/>
    <w:basedOn w:val="DefaultParagraphFont"/>
    <w:uiPriority w:val="9"/>
    <w:semiHidden/>
    <w:qFormat/>
    <w:rsid w:val="00513707"/>
    <w:rPr>
      <w:rFonts w:eastAsia="" w:cs="" w:cstheme="majorBidi" w:eastAsiaTheme="majorEastAsia"/>
      <w:color w:themeColor="accent1" w:themeShade="bf" w:val="365F91"/>
      <w:kern w:val="2"/>
      <w:sz w:val="22"/>
      <w14:ligatures w14:val="standardContextual"/>
    </w:rPr>
  </w:style>
  <w:style w:type="character" w:styleId="Nagwek6Znak" w:customStyle="1">
    <w:name w:val="Nagłówek 6 Znak"/>
    <w:basedOn w:val="DefaultParagraphFont"/>
    <w:uiPriority w:val="9"/>
    <w:semiHidden/>
    <w:qFormat/>
    <w:rsid w:val="00513707"/>
    <w:rPr>
      <w:rFonts w:eastAsia="" w:cs="" w:cstheme="majorBidi" w:eastAsiaTheme="majorEastAsia"/>
      <w:i/>
      <w:iCs/>
      <w:color w:themeColor="text1" w:themeTint="a6" w:val="595959"/>
      <w:kern w:val="2"/>
      <w:sz w:val="22"/>
      <w14:ligatures w14:val="standardContextual"/>
    </w:rPr>
  </w:style>
  <w:style w:type="character" w:styleId="Nagwek7Znak" w:customStyle="1">
    <w:name w:val="Nagłówek 7 Znak"/>
    <w:basedOn w:val="DefaultParagraphFont"/>
    <w:uiPriority w:val="9"/>
    <w:semiHidden/>
    <w:qFormat/>
    <w:rsid w:val="00513707"/>
    <w:rPr>
      <w:rFonts w:eastAsia="" w:cs="" w:cstheme="majorBidi" w:eastAsiaTheme="majorEastAsia"/>
      <w:color w:themeColor="text1" w:themeTint="a6" w:val="595959"/>
      <w:kern w:val="2"/>
      <w:sz w:val="22"/>
      <w14:ligatures w14:val="standardContextual"/>
    </w:rPr>
  </w:style>
  <w:style w:type="character" w:styleId="Nagwek8Znak" w:customStyle="1">
    <w:name w:val="Nagłówek 8 Znak"/>
    <w:basedOn w:val="DefaultParagraphFont"/>
    <w:uiPriority w:val="9"/>
    <w:semiHidden/>
    <w:qFormat/>
    <w:rsid w:val="00513707"/>
    <w:rPr>
      <w:rFonts w:eastAsia="" w:cs="" w:cstheme="majorBidi" w:eastAsiaTheme="majorEastAsia"/>
      <w:i/>
      <w:iCs/>
      <w:color w:themeColor="text1" w:themeTint="d8" w:val="272727"/>
      <w:kern w:val="2"/>
      <w:sz w:val="22"/>
      <w14:ligatures w14:val="standardContextual"/>
    </w:rPr>
  </w:style>
  <w:style w:type="character" w:styleId="Nagwek9Znak" w:customStyle="1">
    <w:name w:val="Nagłówek 9 Znak"/>
    <w:basedOn w:val="DefaultParagraphFont"/>
    <w:uiPriority w:val="9"/>
    <w:semiHidden/>
    <w:qFormat/>
    <w:rsid w:val="00513707"/>
    <w:rPr>
      <w:rFonts w:eastAsia="" w:cs="" w:cstheme="majorBidi" w:eastAsiaTheme="majorEastAsia"/>
      <w:color w:themeColor="text1" w:themeTint="d8" w:val="272727"/>
      <w:kern w:val="2"/>
      <w:sz w:val="22"/>
      <w14:ligatures w14:val="standardContextual"/>
    </w:rPr>
  </w:style>
  <w:style w:type="character" w:styleId="PodtytuZnak" w:customStyle="1">
    <w:name w:val="Podtytuł Znak"/>
    <w:basedOn w:val="DefaultParagraphFont"/>
    <w:uiPriority w:val="11"/>
    <w:qFormat/>
    <w:rsid w:val="00513707"/>
    <w:rPr>
      <w:rFonts w:eastAsia="" w:cs="" w:cstheme="majorBidi" w:eastAsiaTheme="majorEastAsia"/>
      <w:color w:themeColor="text1" w:themeTint="a6" w:val="595959"/>
      <w:spacing w:val="15"/>
      <w:kern w:val="2"/>
      <w:sz w:val="28"/>
      <w:szCs w:val="28"/>
      <w14:ligatures w14:val="standardContextual"/>
    </w:rPr>
  </w:style>
  <w:style w:type="character" w:styleId="CytatZnak" w:customStyle="1">
    <w:name w:val="Cytat Znak"/>
    <w:basedOn w:val="DefaultParagraphFont"/>
    <w:link w:val="Quote"/>
    <w:uiPriority w:val="29"/>
    <w:qFormat/>
    <w:rsid w:val="00513707"/>
    <w:rPr>
      <w:i/>
      <w:iCs/>
      <w:color w:themeColor="text1" w:themeTint="bf" w:val="404040"/>
      <w:kern w:val="2"/>
      <w:sz w:val="22"/>
      <w14:ligatures w14:val="standardContextual"/>
    </w:rPr>
  </w:style>
  <w:style w:type="character" w:styleId="IntenseEmphasis">
    <w:name w:val="Intense Emphasis"/>
    <w:basedOn w:val="DefaultParagraphFont"/>
    <w:uiPriority w:val="21"/>
    <w:qFormat/>
    <w:rsid w:val="00513707"/>
    <w:rPr>
      <w:i/>
      <w:iCs/>
      <w:color w:themeColor="accent1" w:themeShade="bf" w:val="365F91"/>
    </w:rPr>
  </w:style>
  <w:style w:type="character" w:styleId="IntenseReference">
    <w:name w:val="Intense Reference"/>
    <w:basedOn w:val="DefaultParagraphFont"/>
    <w:uiPriority w:val="32"/>
    <w:qFormat/>
    <w:rsid w:val="00513707"/>
    <w:rPr>
      <w:b/>
      <w:bCs/>
      <w:smallCaps/>
      <w:color w:themeColor="accent1" w:themeShade="bf" w:val="365F91"/>
      <w:spacing w:val="5"/>
    </w:rPr>
  </w:style>
  <w:style w:type="character" w:styleId="AkapitzlistZnak" w:customStyle="1">
    <w:name w:val="Akapit z listą Znak"/>
    <w:link w:val="ListParagraph"/>
    <w:uiPriority w:val="34"/>
    <w:qFormat/>
    <w:locked/>
    <w:rsid w:val="00513707"/>
    <w:rPr>
      <w:rFonts w:cs="Times New Roman"/>
      <w:color w:val="00000A"/>
      <w:sz w:val="22"/>
    </w:rPr>
  </w:style>
  <w:style w:type="character" w:styleId="normaltextrun" w:customStyle="1">
    <w:name w:val="normaltextrun"/>
    <w:basedOn w:val="DefaultParagraphFont"/>
    <w:qFormat/>
    <w:rsid w:val="00513707"/>
    <w:rPr/>
  </w:style>
  <w:style w:type="character" w:styleId="eop" w:customStyle="1">
    <w:name w:val="eop"/>
    <w:basedOn w:val="DefaultParagraphFont"/>
    <w:qFormat/>
    <w:rsid w:val="00513707"/>
    <w:rPr/>
  </w:style>
  <w:style w:type="character" w:styleId="Domylnaczcionkaakapitu">
    <w:name w:val="Domyślna czcionka akapitu"/>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TextBody"/>
    <w:rsid w:val="00075954"/>
    <w:pPr/>
    <w:rPr>
      <w:rFonts w:cs="Lucida Sans"/>
    </w:rPr>
  </w:style>
  <w:style w:type="paragraph" w:styleId="Caption">
    <w:name w:val="caption"/>
    <w:basedOn w:val="Normal"/>
    <w:qFormat/>
    <w:rsid w:val="00075954"/>
    <w:pPr>
      <w:suppressLineNumbers/>
      <w:spacing w:before="120" w:after="120"/>
    </w:pPr>
    <w:rPr>
      <w:rFonts w:cs="Lucida Sans"/>
      <w:i/>
      <w:iCs/>
      <w:sz w:val="24"/>
      <w:szCs w:val="24"/>
    </w:rPr>
  </w:style>
  <w:style w:type="paragraph" w:styleId="Indeks">
    <w:name w:val="Indeks"/>
    <w:basedOn w:val="Normal"/>
    <w:qFormat/>
    <w:pPr>
      <w:suppressLineNumbers/>
    </w:pPr>
    <w:rPr>
      <w:rFonts w:cs="Arial"/>
    </w:rPr>
  </w:style>
  <w:style w:type="paragraph" w:styleId="Nagwekuser" w:customStyle="1">
    <w:name w:val="Nagłówek (user)"/>
    <w:basedOn w:val="Normal"/>
    <w:next w:val="TextBody"/>
    <w:qFormat/>
    <w:rsid w:val="00075954"/>
    <w:pPr>
      <w:keepNext w:val="true"/>
      <w:spacing w:before="240" w:after="120"/>
    </w:pPr>
    <w:rPr>
      <w:rFonts w:ascii="Liberation Sans" w:hAnsi="Liberation Sans" w:eastAsia="Microsoft YaHei" w:cs="Lucida Sans"/>
      <w:sz w:val="28"/>
      <w:szCs w:val="28"/>
    </w:rPr>
  </w:style>
  <w:style w:type="paragraph" w:styleId="Indeksuser" w:customStyle="1">
    <w:name w:val="Indeks (user)"/>
    <w:basedOn w:val="Normal"/>
    <w:qFormat/>
    <w:rsid w:val="00075954"/>
    <w:pPr>
      <w:suppressLineNumbers/>
    </w:pPr>
    <w:rPr>
      <w:rFonts w:cs="Lucida Sans"/>
    </w:rPr>
  </w:style>
  <w:style w:type="paragraph" w:styleId="TextBody" w:customStyle="1">
    <w:name w:val="Text Body"/>
    <w:basedOn w:val="Normal"/>
    <w:qFormat/>
    <w:rsid w:val="00075954"/>
    <w:pPr>
      <w:spacing w:lineRule="auto" w:line="288" w:before="0" w:after="140"/>
    </w:pPr>
    <w:rPr/>
  </w:style>
  <w:style w:type="paragraph" w:styleId="NormalWeb">
    <w:name w:val="Normal (Web)"/>
    <w:basedOn w:val="Normal"/>
    <w:uiPriority w:val="99"/>
    <w:unhideWhenUsed/>
    <w:qFormat/>
    <w:rsid w:val="009c290f"/>
    <w:pPr>
      <w:spacing w:lineRule="auto" w:line="240" w:beforeAutospacing="1" w:afterAutospacing="1"/>
    </w:pPr>
    <w:rPr>
      <w:rFonts w:ascii="Times New Roman" w:hAnsi="Times New Roman" w:eastAsia="Times New Roman"/>
      <w:sz w:val="24"/>
      <w:szCs w:val="24"/>
      <w:lang w:eastAsia="pl-PL"/>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Footer">
    <w:name w:val="footer"/>
    <w:basedOn w:val="Normal"/>
    <w:link w:val="StopkaZnak"/>
    <w:uiPriority w:val="99"/>
    <w:rsid w:val="00c12b1e"/>
    <w:pPr>
      <w:suppressAutoHyphens w:val="true"/>
      <w:spacing w:lineRule="auto" w:line="240" w:before="0" w:after="0"/>
    </w:pPr>
    <w:rPr>
      <w:rFonts w:ascii="Times New Roman" w:hAnsi="Times New Roman" w:eastAsia="Times New Roman"/>
      <w:sz w:val="24"/>
      <w:szCs w:val="24"/>
      <w:lang w:eastAsia="ar-SA"/>
    </w:rPr>
  </w:style>
  <w:style w:type="paragraph" w:styleId="Header">
    <w:name w:val="header"/>
    <w:basedOn w:val="Normal"/>
    <w:link w:val="NagwekZnak"/>
    <w:uiPriority w:val="99"/>
    <w:rsid w:val="00c12b1e"/>
    <w:pPr>
      <w:suppressAutoHyphens w:val="true"/>
      <w:spacing w:lineRule="auto" w:line="240" w:before="0" w:after="0"/>
    </w:pPr>
    <w:rPr>
      <w:sz w:val="24"/>
      <w:szCs w:val="20"/>
      <w:lang w:eastAsia="ar-SA"/>
    </w:rPr>
  </w:style>
  <w:style w:type="paragraph" w:styleId="CommentText">
    <w:name w:val="annotation text"/>
    <w:basedOn w:val="Normal"/>
    <w:link w:val="TekstkomentarzaZnak"/>
    <w:uiPriority w:val="99"/>
    <w:qFormat/>
    <w:rsid w:val="00c12b1e"/>
    <w:pPr>
      <w:spacing w:lineRule="auto" w:line="240" w:before="0" w:after="0"/>
    </w:pPr>
    <w:rPr>
      <w:rFonts w:ascii="Times New Roman" w:hAnsi="Times New Roman" w:eastAsia="Times New Roman"/>
      <w:sz w:val="20"/>
      <w:szCs w:val="20"/>
      <w:lang w:eastAsia="pl-PL"/>
    </w:rPr>
  </w:style>
  <w:style w:type="paragraph" w:styleId="BalloonText">
    <w:name w:val="Balloon Text"/>
    <w:basedOn w:val="Normal"/>
    <w:link w:val="TekstdymkaZnak"/>
    <w:uiPriority w:val="99"/>
    <w:semiHidden/>
    <w:unhideWhenUsed/>
    <w:qFormat/>
    <w:rsid w:val="00c12b1e"/>
    <w:pPr>
      <w:spacing w:lineRule="auto" w:line="240" w:before="0" w:after="0"/>
    </w:pPr>
    <w:rPr>
      <w:rFonts w:ascii="Tahoma" w:hAnsi="Tahoma" w:cs="Tahoma"/>
      <w:sz w:val="16"/>
      <w:szCs w:val="16"/>
    </w:rPr>
  </w:style>
  <w:style w:type="paragraph" w:styleId="annotationsubject">
    <w:name w:val="annotation subject"/>
    <w:basedOn w:val="CommentText"/>
    <w:next w:val="CommentText"/>
    <w:link w:val="TematkomentarzaZnak"/>
    <w:uiPriority w:val="99"/>
    <w:semiHidden/>
    <w:unhideWhenUsed/>
    <w:qFormat/>
    <w:rsid w:val="00444cf5"/>
    <w:pPr>
      <w:spacing w:before="0" w:after="200"/>
    </w:pPr>
    <w:rPr>
      <w:rFonts w:ascii="Calibri" w:hAnsi="Calibri" w:eastAsia="Calibri" w:asciiTheme="minorHAnsi" w:eastAsiaTheme="minorHAnsi" w:hAnsiTheme="minorHAnsi"/>
      <w:b/>
      <w:bCs/>
      <w:lang w:eastAsia="en-US"/>
    </w:rPr>
  </w:style>
  <w:style w:type="paragraph" w:styleId="ListParagraph">
    <w:name w:val="List Paragraph"/>
    <w:basedOn w:val="Normal"/>
    <w:link w:val="AkapitzlistZnak"/>
    <w:uiPriority w:val="34"/>
    <w:qFormat/>
    <w:rsid w:val="0089118f"/>
    <w:pPr>
      <w:spacing w:before="0" w:after="200"/>
      <w:ind w:left="720"/>
      <w:contextualSpacing/>
    </w:pPr>
    <w:rPr/>
  </w:style>
  <w:style w:type="paragraph" w:styleId="Revision">
    <w:name w:val="Revision"/>
    <w:uiPriority w:val="99"/>
    <w:semiHidden/>
    <w:qFormat/>
    <w:rsid w:val="00c5341e"/>
    <w:pPr>
      <w:widowControl/>
      <w:suppressAutoHyphens w:val="true"/>
      <w:bidi w:val="0"/>
      <w:spacing w:lineRule="auto" w:line="240" w:before="0" w:after="0"/>
      <w:jc w:val="left"/>
    </w:pPr>
    <w:rPr>
      <w:rFonts w:ascii="Calibri" w:hAnsi="Calibri" w:eastAsia="Calibri" w:cs="Times New Roman"/>
      <w:color w:val="00000A"/>
      <w:kern w:val="0"/>
      <w:sz w:val="22"/>
      <w:szCs w:val="22"/>
      <w:lang w:val="pl-PL" w:eastAsia="en-US" w:bidi="ar-SA"/>
    </w:rPr>
  </w:style>
  <w:style w:type="paragraph" w:styleId="Title">
    <w:name w:val="Title"/>
    <w:basedOn w:val="Normal"/>
    <w:next w:val="Normal"/>
    <w:link w:val="TytuZnak"/>
    <w:uiPriority w:val="10"/>
    <w:qFormat/>
    <w:rsid w:val="00694662"/>
    <w:pPr>
      <w:spacing w:lineRule="auto" w:line="240" w:before="0" w:after="0"/>
      <w:contextualSpacing/>
    </w:pPr>
    <w:rPr>
      <w:rFonts w:ascii="Cambria" w:hAnsi="Cambria" w:eastAsia="" w:cs="" w:asciiTheme="majorHAnsi" w:cstheme="majorBidi" w:eastAsiaTheme="majorEastAsia" w:hAnsiTheme="majorHAnsi"/>
      <w:color w:val="auto"/>
      <w:spacing w:val="-10"/>
      <w:kern w:val="2"/>
      <w:sz w:val="56"/>
      <w:szCs w:val="56"/>
    </w:rPr>
  </w:style>
  <w:style w:type="paragraph" w:styleId="Default" w:customStyle="1">
    <w:name w:val="Default"/>
    <w:uiPriority w:val="99"/>
    <w:qFormat/>
    <w:rsid w:val="00b62d33"/>
    <w:pPr>
      <w:widowControl/>
      <w:suppressAutoHyphens w:val="true"/>
      <w:bidi w:val="0"/>
      <w:spacing w:lineRule="auto" w:line="240" w:before="0" w:after="0"/>
      <w:jc w:val="left"/>
      <w:textAlignment w:val="baseline"/>
    </w:pPr>
    <w:rPr>
      <w:rFonts w:ascii="Arial" w:hAnsi="Arial" w:eastAsia="Times New Roman" w:cs="Arial"/>
      <w:color w:val="000000"/>
      <w:kern w:val="2"/>
      <w:sz w:val="24"/>
      <w:szCs w:val="24"/>
      <w:lang w:val="pl-PL" w:eastAsia="zh-CN" w:bidi="hi-IN"/>
    </w:rPr>
  </w:style>
  <w:style w:type="paragraph" w:styleId="ACPTrerozdziau1" w:customStyle="1">
    <w:name w:val="ACP.Treść rozdziału 1"/>
    <w:basedOn w:val="Normal"/>
    <w:uiPriority w:val="1"/>
    <w:qFormat/>
    <w:rsid w:val="00b478bb"/>
    <w:pPr>
      <w:numPr>
        <w:ilvl w:val="1"/>
        <w:numId w:val="42"/>
      </w:numPr>
      <w:spacing w:lineRule="auto" w:line="240" w:before="0" w:after="60"/>
      <w:jc w:val="both"/>
    </w:pPr>
    <w:rPr>
      <w:rFonts w:ascii="Calibri" w:hAnsi="Calibri" w:eastAsia="" w:cs="" w:cstheme="minorBidi" w:eastAsiaTheme="minorEastAsia"/>
      <w:color w:val="auto"/>
      <w:lang w:eastAsia="pl-PL"/>
    </w:rPr>
  </w:style>
  <w:style w:type="paragraph" w:styleId="ACPTrerozdziau2" w:customStyle="1">
    <w:name w:val="ACP.Treść rozdziału 2"/>
    <w:basedOn w:val="Normal"/>
    <w:uiPriority w:val="2"/>
    <w:qFormat/>
    <w:rsid w:val="00b478bb"/>
    <w:pPr>
      <w:numPr>
        <w:ilvl w:val="2"/>
        <w:numId w:val="42"/>
      </w:numPr>
      <w:spacing w:lineRule="auto" w:line="240" w:before="0" w:after="60"/>
      <w:jc w:val="both"/>
    </w:pPr>
    <w:rPr>
      <w:rFonts w:ascii="Calibri" w:hAnsi="Calibri" w:eastAsia="" w:cs="" w:cstheme="minorBidi" w:eastAsiaTheme="minorEastAsia"/>
      <w:color w:val="auto"/>
      <w:lang w:eastAsia="pl-PL"/>
    </w:rPr>
  </w:style>
  <w:style w:type="paragraph" w:styleId="ACPListaabc-poziom1" w:customStyle="1">
    <w:name w:val="ACP.Lista abc - poziom 1"/>
    <w:basedOn w:val="Normal"/>
    <w:uiPriority w:val="3"/>
    <w:qFormat/>
    <w:rsid w:val="00b478bb"/>
    <w:pPr>
      <w:numPr>
        <w:ilvl w:val="3"/>
        <w:numId w:val="42"/>
      </w:numPr>
      <w:spacing w:lineRule="auto" w:line="240" w:before="0" w:after="60"/>
      <w:jc w:val="both"/>
    </w:pPr>
    <w:rPr>
      <w:rFonts w:ascii="Calibri" w:hAnsi="Calibri" w:eastAsia="" w:cs="" w:cstheme="minorBidi" w:eastAsiaTheme="minorEastAsia"/>
      <w:color w:val="auto"/>
      <w:lang w:eastAsia="pl-PL"/>
    </w:rPr>
  </w:style>
  <w:style w:type="paragraph" w:styleId="ACPListaabc-poziom2" w:customStyle="1">
    <w:name w:val="ACP.Lista abc - poziom 2"/>
    <w:basedOn w:val="Normal"/>
    <w:uiPriority w:val="4"/>
    <w:qFormat/>
    <w:rsid w:val="00b478bb"/>
    <w:pPr>
      <w:numPr>
        <w:ilvl w:val="4"/>
        <w:numId w:val="42"/>
      </w:numPr>
      <w:spacing w:lineRule="auto" w:line="240" w:before="0" w:after="60"/>
      <w:jc w:val="both"/>
    </w:pPr>
    <w:rPr>
      <w:rFonts w:ascii="Calibri" w:hAnsi="Calibri" w:eastAsia="" w:cs="" w:cstheme="minorBidi" w:eastAsiaTheme="minorEastAsia"/>
      <w:color w:val="auto"/>
      <w:lang w:eastAsia="pl-PL"/>
    </w:rPr>
  </w:style>
  <w:style w:type="paragraph" w:styleId="ACPTyturozdziau" w:customStyle="1">
    <w:name w:val="ACP.Tytuł rozdziału"/>
    <w:basedOn w:val="Normal"/>
    <w:next w:val="ACPTrerozdziau1"/>
    <w:qFormat/>
    <w:rsid w:val="00b478bb"/>
    <w:pPr>
      <w:keepNext w:val="true"/>
      <w:numPr>
        <w:ilvl w:val="0"/>
        <w:numId w:val="42"/>
      </w:numPr>
      <w:spacing w:lineRule="auto" w:line="240" w:before="200" w:after="200"/>
    </w:pPr>
    <w:rPr>
      <w:rFonts w:ascii="Calibri" w:hAnsi="Calibri" w:eastAsia="" w:cs="" w:cstheme="minorBidi" w:eastAsiaTheme="minorEastAsia"/>
      <w:b/>
      <w:bCs/>
      <w:caps/>
      <w:color w:themeColor="text1" w:val="000000"/>
      <w:lang w:eastAsia="pl-PL"/>
    </w:rPr>
  </w:style>
  <w:style w:type="paragraph" w:styleId="IntenseQuote">
    <w:name w:val="Intense Quote"/>
    <w:basedOn w:val="Normal"/>
    <w:next w:val="Normal"/>
    <w:link w:val="CytatintensywnyZnak"/>
    <w:uiPriority w:val="30"/>
    <w:qFormat/>
    <w:rsid w:val="00b77eb9"/>
    <w:pPr>
      <w:pBdr>
        <w:top w:val="single" w:sz="4" w:space="10" w:color="365F91" w:themeColor="accent1" w:themeShade="bf"/>
        <w:bottom w:val="single" w:sz="4" w:space="10" w:color="365F91" w:themeColor="accent1" w:themeShade="bf"/>
      </w:pBdr>
      <w:spacing w:lineRule="auto" w:line="259" w:before="360" w:after="360"/>
      <w:ind w:left="864" w:right="864"/>
      <w:jc w:val="center"/>
    </w:pPr>
    <w:rPr>
      <w:rFonts w:cs="" w:cstheme="minorBidi"/>
      <w:i/>
      <w:iCs/>
      <w:color w:themeColor="accent1" w:themeShade="bf" w:val="365F91"/>
      <w:kern w:val="2"/>
      <w14:ligatures w14:val="standardContextual"/>
    </w:rPr>
  </w:style>
  <w:style w:type="paragraph" w:styleId="EndnoteText">
    <w:name w:val="endnote text"/>
    <w:basedOn w:val="Normal"/>
    <w:link w:val="TekstprzypisukocowegoZnak"/>
    <w:uiPriority w:val="99"/>
    <w:semiHidden/>
    <w:unhideWhenUsed/>
    <w:rsid w:val="00ef1cc6"/>
    <w:pPr>
      <w:spacing w:lineRule="auto" w:line="240" w:before="0" w:after="0"/>
    </w:pPr>
    <w:rPr>
      <w:sz w:val="20"/>
      <w:szCs w:val="20"/>
    </w:rPr>
  </w:style>
  <w:style w:type="paragraph" w:styleId="FootnoteText">
    <w:name w:val="footnote text"/>
    <w:basedOn w:val="Normal"/>
    <w:link w:val="TekstprzypisudolnegoZnak"/>
    <w:uiPriority w:val="99"/>
    <w:semiHidden/>
    <w:unhideWhenUsed/>
    <w:rsid w:val="00ef1cc6"/>
    <w:pPr>
      <w:spacing w:lineRule="auto" w:line="240" w:before="0" w:after="0"/>
    </w:pPr>
    <w:rPr>
      <w:sz w:val="20"/>
      <w:szCs w:val="20"/>
    </w:rPr>
  </w:style>
  <w:style w:type="paragraph" w:styleId="Subtitle">
    <w:name w:val="Subtitle"/>
    <w:basedOn w:val="Normal"/>
    <w:next w:val="Normal"/>
    <w:link w:val="PodtytuZnak"/>
    <w:uiPriority w:val="11"/>
    <w:qFormat/>
    <w:rsid w:val="00513707"/>
    <w:pPr>
      <w:spacing w:lineRule="auto" w:line="259" w:before="0" w:after="160"/>
    </w:pPr>
    <w:rPr>
      <w:rFonts w:eastAsia="" w:cs="" w:cstheme="majorBidi" w:eastAsiaTheme="majorEastAsia"/>
      <w:color w:themeColor="text1" w:themeTint="a6" w:val="595959"/>
      <w:spacing w:val="15"/>
      <w:kern w:val="2"/>
      <w:sz w:val="28"/>
      <w:szCs w:val="28"/>
      <w14:ligatures w14:val="standardContextual"/>
    </w:rPr>
  </w:style>
  <w:style w:type="paragraph" w:styleId="Quote">
    <w:name w:val="Quote"/>
    <w:basedOn w:val="Normal"/>
    <w:next w:val="Normal"/>
    <w:link w:val="CytatZnak"/>
    <w:uiPriority w:val="29"/>
    <w:qFormat/>
    <w:rsid w:val="00513707"/>
    <w:pPr>
      <w:spacing w:lineRule="auto" w:line="259" w:before="160" w:after="160"/>
      <w:jc w:val="center"/>
    </w:pPr>
    <w:rPr>
      <w:rFonts w:cs="" w:cstheme="minorBidi"/>
      <w:i/>
      <w:iCs/>
      <w:color w:themeColor="text1" w:themeTint="bf" w:val="404040"/>
      <w:kern w:val="2"/>
      <w14:ligatures w14:val="standardContextual"/>
    </w:rPr>
  </w:style>
  <w:style w:type="paragraph" w:styleId="NoSpacing">
    <w:name w:val="No Spacing"/>
    <w:uiPriority w:val="1"/>
    <w:qFormat/>
    <w:rsid w:val="00513707"/>
    <w:pPr>
      <w:widowControl/>
      <w:suppressAutoHyphens w:val="true"/>
      <w:bidi w:val="0"/>
      <w:spacing w:lineRule="auto" w:line="240" w:before="0" w:after="0"/>
      <w:jc w:val="left"/>
    </w:pPr>
    <w:rPr>
      <w:rFonts w:ascii="Calibri" w:hAnsi="Calibri" w:eastAsia="Calibri" w:cs="Arial"/>
      <w:color w:val="auto"/>
      <w:kern w:val="2"/>
      <w:sz w:val="22"/>
      <w:szCs w:val="22"/>
      <w:lang w:val="pl-PL" w:eastAsia="en-US" w:bidi="ar-SA"/>
      <w14:ligatures w14:val="standardContextual"/>
    </w:rPr>
  </w:style>
  <w:style w:type="paragraph" w:styleId="Standardowy1">
    <w:name w:val="Standardowy1"/>
    <w:qFormat/>
    <w:pPr>
      <w:widowControl/>
      <w:suppressAutoHyphens w:val="true"/>
      <w:overflowPunct w:val="false"/>
      <w:bidi w:val="0"/>
      <w:spacing w:before="0" w:after="0"/>
      <w:jc w:val="left"/>
      <w:textAlignment w:val="baseline"/>
    </w:pPr>
    <w:rPr>
      <w:rFonts w:ascii="Liberation Serif" w:hAnsi="Liberation Serif" w:eastAsia="Arial" w:cs="Times New Roman"/>
      <w:color w:val="auto"/>
      <w:kern w:val="2"/>
      <w:sz w:val="20"/>
      <w:szCs w:val="20"/>
      <w:lang w:val="pl-PL" w:eastAsia="zh-CN" w:bidi="ar-SA"/>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c12b1e"/>
    <w:pPr>
      <w:spacing w:line="240" w:lineRule="auto"/>
    </w:pPr>
    <w:rPr>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7.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Relationship Id="rId27" Type="http://schemas.openxmlformats.org/officeDocument/2006/relationships/customXml" Target="../customXml/item2.xml"/><Relationship Id="rId28" Type="http://schemas.openxmlformats.org/officeDocument/2006/relationships/customXml" Target="../customXml/item3.xml"/><Relationship Id="rId29"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header5.xml.rels><?xml version="1.0" encoding="UTF-8"?>
<Relationships xmlns="http://schemas.openxmlformats.org/package/2006/relationships"><Relationship Id="rId1" Type="http://schemas.openxmlformats.org/officeDocument/2006/relationships/image" Target="media/image1.jpeg"/>
</Relationships>
</file>

<file path=word/_rels/header6.xml.rels><?xml version="1.0" encoding="UTF-8"?>
<Relationships xmlns="http://schemas.openxmlformats.org/package/2006/relationships"><Relationship Id="rId1" Type="http://schemas.openxmlformats.org/officeDocument/2006/relationships/image" Target="media/image1.jpeg"/>
</Relationships>
</file>

<file path=word/_rels/header8.xml.rels><?xml version="1.0" encoding="UTF-8"?>
<Relationships xmlns="http://schemas.openxmlformats.org/package/2006/relationships"><Relationship Id="rId1" Type="http://schemas.openxmlformats.org/officeDocument/2006/relationships/image" Target="media/image1.jpeg"/>
</Relationships>
</file>

<file path=word/_rels/header9.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90A8F65A330A4E89A6582DB5636093" ma:contentTypeVersion="11" ma:contentTypeDescription="Utwórz nowy dokument." ma:contentTypeScope="" ma:versionID="d5e531ab9ddaadfe6faa110e5ef2a86f">
  <xsd:schema xmlns:xsd="http://www.w3.org/2001/XMLSchema" xmlns:xs="http://www.w3.org/2001/XMLSchema" xmlns:p="http://schemas.microsoft.com/office/2006/metadata/properties" xmlns:ns2="e598b026-b4ff-42f7-9764-2ef0e9e40f3c" xmlns:ns3="5a8a969c-b5cf-46f5-8048-2f322d008edb" targetNamespace="http://schemas.microsoft.com/office/2006/metadata/properties" ma:root="true" ma:fieldsID="b98fe6998e8c6d4a26122746cabbbc24" ns2:_="" ns3:_="">
    <xsd:import namespace="e598b026-b4ff-42f7-9764-2ef0e9e40f3c"/>
    <xsd:import namespace="5a8a969c-b5cf-46f5-8048-2f322d008e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8b026-b4ff-42f7-9764-2ef0e9e40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492386f8-c9a8-4063-b817-4d0b25ae358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a969c-b5cf-46f5-8048-2f322d008ed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dcba1-fd98-43f6-b4a3-9afe0c4f47e3}" ma:internalName="TaxCatchAll" ma:showField="CatchAllData" ma:web="5a8a969c-b5cf-46f5-8048-2f322d008e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98b026-b4ff-42f7-9764-2ef0e9e40f3c">
      <Terms xmlns="http://schemas.microsoft.com/office/infopath/2007/PartnerControls"/>
    </lcf76f155ced4ddcb4097134ff3c332f>
    <TaxCatchAll xmlns="5a8a969c-b5cf-46f5-8048-2f322d008edb" xsi:nil="true"/>
  </documentManagement>
</p:properties>
</file>

<file path=customXml/itemProps1.xml><?xml version="1.0" encoding="utf-8"?>
<ds:datastoreItem xmlns:ds="http://schemas.openxmlformats.org/officeDocument/2006/customXml" ds:itemID="{A4B40ABA-9B09-4CF0-AAAB-7BD4E0B82600}">
  <ds:schemaRefs>
    <ds:schemaRef ds:uri="http://schemas.microsoft.com/sharepoint/v3/contenttype/forms"/>
  </ds:schemaRefs>
</ds:datastoreItem>
</file>

<file path=customXml/itemProps2.xml><?xml version="1.0" encoding="utf-8"?>
<ds:datastoreItem xmlns:ds="http://schemas.openxmlformats.org/officeDocument/2006/customXml" ds:itemID="{C2E68E8D-BC60-43C9-B2C3-06A8B4030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8b026-b4ff-42f7-9764-2ef0e9e40f3c"/>
    <ds:schemaRef ds:uri="5a8a969c-b5cf-46f5-8048-2f322d008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A3A2D-9E29-4816-B416-599ED440EA4C}">
  <ds:schemaRefs>
    <ds:schemaRef ds:uri="http://schemas.openxmlformats.org/officeDocument/2006/bibliography"/>
  </ds:schemaRefs>
</ds:datastoreItem>
</file>

<file path=customXml/itemProps4.xml><?xml version="1.0" encoding="utf-8"?>
<ds:datastoreItem xmlns:ds="http://schemas.openxmlformats.org/officeDocument/2006/customXml" ds:itemID="{733570B9-F212-4F31-BD0F-3F4D4C4AD40F}">
  <ds:schemaRefs>
    <ds:schemaRef ds:uri="http://schemas.microsoft.com/office/2006/metadata/properties"/>
    <ds:schemaRef ds:uri="http://schemas.microsoft.com/office/infopath/2007/PartnerControls"/>
    <ds:schemaRef ds:uri="e598b026-b4ff-42f7-9764-2ef0e9e40f3c"/>
    <ds:schemaRef ds:uri="5a8a969c-b5cf-46f5-8048-2f322d008edb"/>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Application>LibreOffice/26.2.1.2$Windows_X86_64 LibreOffice_project/620$Build-2</Application>
  <AppVersion>15.0000</AppVersion>
  <Pages>96</Pages>
  <Words>25116</Words>
  <Characters>170292</Characters>
  <CharactersWithSpaces>192827</CharactersWithSpaces>
  <Paragraphs>1921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2025-11-20T15:36:00Z</dcterms:created>
  <dc:creator>Pawłowska Agnieszka</dc:creator>
  <dc:description/>
  <dc:language>pl-PL</dc:language>
  <cp:lastModifiedBy/>
  <cp:lastPrinted>2025-07-22T16:56:00Z</cp:lastPrinted>
  <dcterms:modified xsi:type="dcterms:W3CDTF">2026-04-09T10:10:42Z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0x0101007290A8F65A330A4E89A6582DB5636093</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